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Title"/>
        <w:tag w:val="Title"/>
        <w:id w:val="-509987125"/>
        <w:lock w:val="sdtLocked"/>
        <w:placeholder>
          <w:docPart w:val="B947E77C80BF4BB8B11D2D4501CCC69D"/>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666FC436" w14:textId="7F67A244" w:rsidR="00886C9D" w:rsidRPr="00B21CEB" w:rsidRDefault="00F13986" w:rsidP="00ED2E8E">
          <w:pPr>
            <w:pStyle w:val="Title"/>
          </w:pPr>
          <w:r>
            <w:t>Best practice end of financial year processes</w:t>
          </w:r>
        </w:p>
      </w:sdtContent>
    </w:sdt>
    <w:p w14:paraId="68C7466C" w14:textId="3A418577" w:rsidR="00ED2E8E" w:rsidRDefault="00ED2E8E" w:rsidP="00ED2E8E">
      <w:pPr>
        <w:pStyle w:val="Subtitle"/>
      </w:pPr>
    </w:p>
    <w:p w14:paraId="3FE59246" w14:textId="77777777" w:rsidR="00453B69" w:rsidRPr="00453B69" w:rsidRDefault="00453B69" w:rsidP="002124B3">
      <w:pPr>
        <w:pStyle w:val="Date"/>
        <w:sectPr w:rsidR="00453B69" w:rsidRPr="00453B69" w:rsidSect="00B21CEB">
          <w:headerReference w:type="default" r:id="rId9"/>
          <w:footerReference w:type="default" r:id="rId10"/>
          <w:headerReference w:type="first" r:id="rId11"/>
          <w:footerReference w:type="first" r:id="rId12"/>
          <w:pgSz w:w="11906" w:h="16838" w:code="9"/>
          <w:pgMar w:top="794" w:right="794" w:bottom="794" w:left="794" w:header="794" w:footer="794" w:gutter="0"/>
          <w:cols w:space="708"/>
          <w:titlePg/>
          <w:docGrid w:linePitch="360"/>
        </w:sectPr>
      </w:pPr>
      <w:r>
        <w:rPr>
          <w:noProof/>
          <w:lang w:eastAsia="en-AU"/>
        </w:rPr>
        <mc:AlternateContent>
          <mc:Choice Requires="wps">
            <w:drawing>
              <wp:anchor distT="45720" distB="45720" distL="114300" distR="114300" simplePos="0" relativeHeight="251659264" behindDoc="0" locked="1" layoutInCell="1" allowOverlap="1" wp14:anchorId="244AE6A2" wp14:editId="687EA95E">
                <wp:simplePos x="0" y="0"/>
                <wp:positionH relativeFrom="column">
                  <wp:posOffset>5131435</wp:posOffset>
                </wp:positionH>
                <wp:positionV relativeFrom="page">
                  <wp:posOffset>6490970</wp:posOffset>
                </wp:positionV>
                <wp:extent cx="1515110" cy="140462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110" cy="1404620"/>
                        </a:xfrm>
                        <a:prstGeom prst="rect">
                          <a:avLst/>
                        </a:prstGeom>
                        <a:noFill/>
                        <a:ln w="9525">
                          <a:noFill/>
                          <a:miter lim="800000"/>
                          <a:headEnd/>
                          <a:tailEnd/>
                        </a:ln>
                      </wps:spPr>
                      <wps:txbx>
                        <w:txbxContent>
                          <w:p w14:paraId="5C9A874A" w14:textId="7EE80188" w:rsidR="00453B69" w:rsidRDefault="00865871" w:rsidP="00453B69">
                            <w:pPr>
                              <w:pStyle w:val="Date"/>
                            </w:pPr>
                            <w:r>
                              <w:t>January 2026</w:t>
                            </w:r>
                          </w:p>
                          <w:p w14:paraId="2F450E75" w14:textId="4A294BBD" w:rsidR="00453B69" w:rsidRDefault="00453B69" w:rsidP="00453B69">
                            <w:pPr>
                              <w:pStyle w:val="Date"/>
                            </w:pPr>
                            <w:r>
                              <w:t xml:space="preserve">Version </w:t>
                            </w:r>
                            <w:r w:rsidR="00865871">
                              <w:t>1.1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4AE6A2" id="_x0000_t202" coordsize="21600,21600" o:spt="202" path="m,l,21600r21600,l21600,xe">
                <v:stroke joinstyle="miter"/>
                <v:path gradientshapeok="t" o:connecttype="rect"/>
              </v:shapetype>
              <v:shape id="Text Box 2" o:spid="_x0000_s1026" type="#_x0000_t202" style="position:absolute;left:0;text-align:left;margin-left:404.05pt;margin-top:511.1pt;width:119.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Gkf+AEAAM4DAAAOAAAAZHJzL2Uyb0RvYy54bWysU9tu2zAMfR+wfxD0vtgOkq414hRduwwD&#10;ugvQ7QMUWY6FSaImKrGzrx8lp2mwvQ2zAUEyxUOew+PV7WgNO6iAGlzDq1nJmXISWu12Df/+bfPm&#10;mjOMwrXCgFMNPyrkt+vXr1aDr9UcejCtCoxAHNaDb3gfo6+LAmWvrMAZeOUo2EGwItIx7Io2iIHQ&#10;rSnmZXlVDBBaH0AqRPr6MAX5OuN3nZLxS9ehisw0nHqLeQ153aa1WK9EvQvC91qe2hD/0IUV2lHR&#10;M9SDiILtg/4LymoZAKGLMwm2gK7TUmUOxKYq/2Dz1AuvMhcSB/1ZJvx/sPLz4cl/DSyO72CkAWYS&#10;6B9B/kDm4L4XbqfuQoChV6KlwlWSrBg81qfUJDXWmEC2wydoachiHyEDjV2wSRXiyQidBnA8i67G&#10;yGQquaS3opCkWLUoF1fzPJZC1M/pPmD8oMCytGl4oKlmeHF4xJjaEfXzlVTNwUYbkydrHBsafrOc&#10;L3PCRcTqSMYz2jb8ukzPZIXE8r1rc3IU2kx7KmDciXZiOnGO43aki4n+FtojCRBgMhj9ELTpIfzi&#10;bCBzNRx/7kVQnJmPjkS8qRaL5MZ8WCzfEmMWLiPby4hwkqAaHjmbtvcxOzhxRX9HYm90luGlk1Ov&#10;ZJqszsngyZWX53zr5Tdc/wYAAP//AwBQSwMEFAAGAAgAAAAhAAJyHL/gAAAADgEAAA8AAABkcnMv&#10;ZG93bnJldi54bWxMj8FOwzAMhu9IvENkJG4sWai2qjSdJrSNIzAqzlkT2orGiZqsK2+Pd4Kbrf/T&#10;78/lZnYDm+wYe48KlgsBzGLjTY+tgvpj/5ADi0mj0YNHq+DHRthUtzelLoy/4LudjqllVIKx0Aq6&#10;lELBeWw663Rc+GCRsi8/Op1oHVtuRn2hcjdwKcSKO90jXeh0sM+dbb6PZ6cgpHBYv4yvb9vdfhL1&#10;56GWfbtT6v5u3j4BS3ZOfzBc9UkdKnI6+TOayAYFuciXhFIgpJTArojIVmtgJ5pk9pgBr0r+/43q&#10;FwAA//8DAFBLAQItABQABgAIAAAAIQC2gziS/gAAAOEBAAATAAAAAAAAAAAAAAAAAAAAAABbQ29u&#10;dGVudF9UeXBlc10ueG1sUEsBAi0AFAAGAAgAAAAhADj9If/WAAAAlAEAAAsAAAAAAAAAAAAAAAAA&#10;LwEAAF9yZWxzLy5yZWxzUEsBAi0AFAAGAAgAAAAhAMS4aR/4AQAAzgMAAA4AAAAAAAAAAAAAAAAA&#10;LgIAAGRycy9lMm9Eb2MueG1sUEsBAi0AFAAGAAgAAAAhAAJyHL/gAAAADgEAAA8AAAAAAAAAAAAA&#10;AAAAUgQAAGRycy9kb3ducmV2LnhtbFBLBQYAAAAABAAEAPMAAABfBQAAAAA=&#10;" filled="f" stroked="f">
                <v:textbox style="mso-fit-shape-to-text:t">
                  <w:txbxContent>
                    <w:p w14:paraId="5C9A874A" w14:textId="7EE80188" w:rsidR="00453B69" w:rsidRDefault="00865871" w:rsidP="00453B69">
                      <w:pPr>
                        <w:pStyle w:val="Date"/>
                      </w:pPr>
                      <w:r>
                        <w:t>January 2026</w:t>
                      </w:r>
                    </w:p>
                    <w:p w14:paraId="2F450E75" w14:textId="4A294BBD" w:rsidR="00453B69" w:rsidRDefault="00453B69" w:rsidP="00453B69">
                      <w:pPr>
                        <w:pStyle w:val="Date"/>
                      </w:pPr>
                      <w:r>
                        <w:t xml:space="preserve">Version </w:t>
                      </w:r>
                      <w:r w:rsidR="00865871">
                        <w:t>1.1</w:t>
                      </w:r>
                    </w:p>
                  </w:txbxContent>
                </v:textbox>
                <w10:wrap anchory="page"/>
                <w10:anchorlock/>
              </v:shape>
            </w:pict>
          </mc:Fallback>
        </mc:AlternateContent>
      </w:r>
    </w:p>
    <w:tbl>
      <w:tblPr>
        <w:tblStyle w:val="NTGtable1"/>
        <w:tblW w:w="10348" w:type="dxa"/>
        <w:tblLook w:val="0480" w:firstRow="0" w:lastRow="0" w:firstColumn="1" w:lastColumn="0" w:noHBand="0" w:noVBand="1"/>
      </w:tblPr>
      <w:tblGrid>
        <w:gridCol w:w="2410"/>
        <w:gridCol w:w="7938"/>
      </w:tblGrid>
      <w:tr w:rsidR="00832B35" w14:paraId="108E2094"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652956A0" w14:textId="77777777" w:rsidR="00832B35" w:rsidRPr="00FB0A2D" w:rsidRDefault="00832B35" w:rsidP="00050358">
            <w:pPr>
              <w:rPr>
                <w:b/>
              </w:rPr>
            </w:pPr>
            <w:r w:rsidRPr="00FB0A2D">
              <w:rPr>
                <w:b/>
              </w:rPr>
              <w:lastRenderedPageBreak/>
              <w:t>Document title</w:t>
            </w:r>
          </w:p>
        </w:tc>
        <w:tc>
          <w:tcPr>
            <w:tcW w:w="7938" w:type="dxa"/>
            <w:hideMark/>
          </w:tcPr>
          <w:p w14:paraId="7DED3819" w14:textId="4CB1583B" w:rsidR="00832B35" w:rsidRPr="00050358" w:rsidRDefault="00C14069" w:rsidP="00050358">
            <w:pPr>
              <w:cnfStyle w:val="000000100000" w:firstRow="0" w:lastRow="0" w:firstColumn="0" w:lastColumn="0" w:oddVBand="0" w:evenVBand="0" w:oddHBand="1" w:evenHBand="0" w:firstRowFirstColumn="0" w:firstRowLastColumn="0" w:lastRowFirstColumn="0" w:lastRowLastColumn="0"/>
            </w:pPr>
            <w:sdt>
              <w:sdtPr>
                <w:alias w:val="Title"/>
                <w:tag w:val="Title"/>
                <w:id w:val="1887138691"/>
                <w:placeholder>
                  <w:docPart w:val="55789698E12143CC9F2D2325DEB79938"/>
                </w:placeholder>
                <w:dataBinding w:prefixMappings="xmlns:ns0='http://purl.org/dc/elements/1.1/' xmlns:ns1='http://schemas.openxmlformats.org/package/2006/metadata/core-properties' " w:xpath="/ns1:coreProperties[1]/ns0:title[1]" w:storeItemID="{6C3C8BC8-F283-45AE-878A-BAB7291924A1}"/>
                <w15:color w:val="000000"/>
                <w:text w:multiLine="1"/>
              </w:sdtPr>
              <w:sdtEndPr/>
              <w:sdtContent>
                <w:r w:rsidR="00F13986">
                  <w:t>Best practice end of financial year processes</w:t>
                </w:r>
              </w:sdtContent>
            </w:sdt>
          </w:p>
        </w:tc>
      </w:tr>
      <w:tr w:rsidR="00832B35" w14:paraId="4F8CFB0F"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37848D3B" w14:textId="77777777" w:rsidR="00832B35" w:rsidRPr="00FB0A2D" w:rsidRDefault="00832B35" w:rsidP="00050358">
            <w:pPr>
              <w:rPr>
                <w:b/>
              </w:rPr>
            </w:pPr>
            <w:r w:rsidRPr="00FB0A2D">
              <w:rPr>
                <w:b/>
              </w:rPr>
              <w:t>Contact details</w:t>
            </w:r>
          </w:p>
        </w:tc>
        <w:tc>
          <w:tcPr>
            <w:tcW w:w="7938" w:type="dxa"/>
            <w:hideMark/>
          </w:tcPr>
          <w:p w14:paraId="732AE480" w14:textId="65688C7E" w:rsidR="00832B35" w:rsidRPr="00050358" w:rsidRDefault="00865871" w:rsidP="00050358">
            <w:pPr>
              <w:cnfStyle w:val="000000010000" w:firstRow="0" w:lastRow="0" w:firstColumn="0" w:lastColumn="0" w:oddVBand="0" w:evenVBand="0" w:oddHBand="0" w:evenHBand="1" w:firstRowFirstColumn="0" w:firstRowLastColumn="0" w:lastRowFirstColumn="0" w:lastRowLastColumn="0"/>
            </w:pPr>
            <w:r>
              <w:t>Department of Treasury and Finance</w:t>
            </w:r>
          </w:p>
        </w:tc>
      </w:tr>
      <w:tr w:rsidR="00832B35" w14:paraId="56455E53"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6E885253" w14:textId="77777777" w:rsidR="00832B35" w:rsidRPr="00FB0A2D" w:rsidRDefault="00832B35" w:rsidP="00050358">
            <w:pPr>
              <w:rPr>
                <w:b/>
              </w:rPr>
            </w:pPr>
            <w:r w:rsidRPr="00FB0A2D">
              <w:rPr>
                <w:b/>
              </w:rPr>
              <w:t>Approved by</w:t>
            </w:r>
          </w:p>
        </w:tc>
        <w:tc>
          <w:tcPr>
            <w:tcW w:w="7938" w:type="dxa"/>
          </w:tcPr>
          <w:p w14:paraId="7ECB3F39" w14:textId="77777777" w:rsidR="00832B35" w:rsidRPr="00050358" w:rsidRDefault="00832B35" w:rsidP="00050358">
            <w:pPr>
              <w:cnfStyle w:val="000000100000" w:firstRow="0" w:lastRow="0" w:firstColumn="0" w:lastColumn="0" w:oddVBand="0" w:evenVBand="0" w:oddHBand="1" w:evenHBand="0" w:firstRowFirstColumn="0" w:firstRowLastColumn="0" w:lastRowFirstColumn="0" w:lastRowLastColumn="0"/>
            </w:pPr>
          </w:p>
        </w:tc>
      </w:tr>
      <w:tr w:rsidR="00832B35" w14:paraId="06B6A8DF"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3E40704B" w14:textId="77777777" w:rsidR="00832B35" w:rsidRPr="00FB0A2D" w:rsidRDefault="00832B35" w:rsidP="00050358">
            <w:pPr>
              <w:rPr>
                <w:b/>
              </w:rPr>
            </w:pPr>
            <w:r w:rsidRPr="00FB0A2D">
              <w:rPr>
                <w:b/>
              </w:rPr>
              <w:t>Date approved</w:t>
            </w:r>
          </w:p>
        </w:tc>
        <w:tc>
          <w:tcPr>
            <w:tcW w:w="7938" w:type="dxa"/>
          </w:tcPr>
          <w:p w14:paraId="4920B46E" w14:textId="77777777"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p>
        </w:tc>
      </w:tr>
      <w:tr w:rsidR="00832B35" w14:paraId="0F7F36C8" w14:textId="77777777" w:rsidTr="00082E45">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28791C60" w14:textId="77777777" w:rsidR="00832B35" w:rsidRPr="00FB0A2D" w:rsidRDefault="00832B35" w:rsidP="00050358">
            <w:pPr>
              <w:rPr>
                <w:b/>
              </w:rPr>
            </w:pPr>
            <w:r w:rsidRPr="00FB0A2D">
              <w:rPr>
                <w:b/>
              </w:rPr>
              <w:t>Document review</w:t>
            </w:r>
          </w:p>
        </w:tc>
        <w:tc>
          <w:tcPr>
            <w:tcW w:w="7938" w:type="dxa"/>
            <w:hideMark/>
          </w:tcPr>
          <w:p w14:paraId="49424C8A" w14:textId="5959DCAA" w:rsidR="00832B35" w:rsidRPr="00050358" w:rsidRDefault="00865871" w:rsidP="00050358">
            <w:pPr>
              <w:cnfStyle w:val="000000100000" w:firstRow="0" w:lastRow="0" w:firstColumn="0" w:lastColumn="0" w:oddVBand="0" w:evenVBand="0" w:oddHBand="1" w:evenHBand="0" w:firstRowFirstColumn="0" w:firstRowLastColumn="0" w:lastRowFirstColumn="0" w:lastRowLastColumn="0"/>
            </w:pPr>
            <w:r>
              <w:t>Every three years</w:t>
            </w:r>
          </w:p>
        </w:tc>
      </w:tr>
      <w:tr w:rsidR="00832B35" w14:paraId="05D11A5D" w14:textId="77777777" w:rsidTr="00082E45">
        <w:trPr>
          <w:cnfStyle w:val="000000010000" w:firstRow="0" w:lastRow="0" w:firstColumn="0" w:lastColumn="0" w:oddVBand="0" w:evenVBand="0" w:oddHBand="0" w:evenHBand="1"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2410" w:type="dxa"/>
            <w:hideMark/>
          </w:tcPr>
          <w:p w14:paraId="1E6558AC" w14:textId="77777777" w:rsidR="00832B35" w:rsidRPr="00FB0A2D" w:rsidRDefault="00832B35" w:rsidP="00050358">
            <w:pPr>
              <w:rPr>
                <w:b/>
              </w:rPr>
            </w:pPr>
            <w:r w:rsidRPr="00FB0A2D">
              <w:rPr>
                <w:b/>
              </w:rPr>
              <w:t>TRM number</w:t>
            </w:r>
          </w:p>
        </w:tc>
        <w:tc>
          <w:tcPr>
            <w:tcW w:w="7938" w:type="dxa"/>
            <w:hideMark/>
          </w:tcPr>
          <w:p w14:paraId="310772EF" w14:textId="77777777" w:rsidR="00832B35" w:rsidRPr="00050358" w:rsidRDefault="00832B35" w:rsidP="00050358">
            <w:pPr>
              <w:cnfStyle w:val="000000010000" w:firstRow="0" w:lastRow="0" w:firstColumn="0" w:lastColumn="0" w:oddVBand="0" w:evenVBand="0" w:oddHBand="0" w:evenHBand="1" w:firstRowFirstColumn="0" w:firstRowLastColumn="0" w:lastRowFirstColumn="0" w:lastRowLastColumn="0"/>
            </w:pPr>
            <w:r w:rsidRPr="00050358">
              <w:t>&lt;NA if not required&gt;</w:t>
            </w:r>
          </w:p>
        </w:tc>
      </w:tr>
    </w:tbl>
    <w:p w14:paraId="41ED059A" w14:textId="77777777" w:rsidR="00832B35" w:rsidRDefault="00832B35" w:rsidP="00702D61"/>
    <w:tbl>
      <w:tblPr>
        <w:tblStyle w:val="NTGtable1"/>
        <w:tblW w:w="10341" w:type="dxa"/>
        <w:tblLayout w:type="fixed"/>
        <w:tblLook w:val="0020" w:firstRow="1" w:lastRow="0" w:firstColumn="0" w:lastColumn="0" w:noHBand="0" w:noVBand="0"/>
      </w:tblPr>
      <w:tblGrid>
        <w:gridCol w:w="1128"/>
        <w:gridCol w:w="2268"/>
        <w:gridCol w:w="2551"/>
        <w:gridCol w:w="4394"/>
      </w:tblGrid>
      <w:tr w:rsidR="003223FE" w:rsidRPr="00050358" w14:paraId="5C833896" w14:textId="77777777" w:rsidTr="009B34DD">
        <w:trPr>
          <w:cnfStyle w:val="100000000000" w:firstRow="1" w:lastRow="0" w:firstColumn="0" w:lastColumn="0" w:oddVBand="0" w:evenVBand="0" w:oddHBand="0"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3CFCB80B" w14:textId="77777777" w:rsidR="003223FE" w:rsidRPr="00050358" w:rsidRDefault="003223FE" w:rsidP="00050358">
            <w:r w:rsidRPr="00050358">
              <w:t>Version</w:t>
            </w:r>
          </w:p>
        </w:tc>
        <w:tc>
          <w:tcPr>
            <w:cnfStyle w:val="000001000000" w:firstRow="0" w:lastRow="0" w:firstColumn="0" w:lastColumn="0" w:oddVBand="0" w:evenVBand="1" w:oddHBand="0" w:evenHBand="0" w:firstRowFirstColumn="0" w:firstRowLastColumn="0" w:lastRowFirstColumn="0" w:lastRowLastColumn="0"/>
            <w:tcW w:w="2268" w:type="dxa"/>
          </w:tcPr>
          <w:p w14:paraId="462D4255" w14:textId="77777777" w:rsidR="003223FE" w:rsidRPr="00050358" w:rsidRDefault="003223FE" w:rsidP="00050358">
            <w:r w:rsidRPr="00050358">
              <w:t>Date</w:t>
            </w:r>
          </w:p>
        </w:tc>
        <w:tc>
          <w:tcPr>
            <w:cnfStyle w:val="000010000000" w:firstRow="0" w:lastRow="0" w:firstColumn="0" w:lastColumn="0" w:oddVBand="1" w:evenVBand="0" w:oddHBand="0" w:evenHBand="0" w:firstRowFirstColumn="0" w:firstRowLastColumn="0" w:lastRowFirstColumn="0" w:lastRowLastColumn="0"/>
            <w:tcW w:w="2551" w:type="dxa"/>
          </w:tcPr>
          <w:p w14:paraId="51568388" w14:textId="77777777" w:rsidR="003223FE" w:rsidRPr="00050358" w:rsidRDefault="003223FE" w:rsidP="00050358">
            <w:r w:rsidRPr="00050358">
              <w:t>Author</w:t>
            </w:r>
          </w:p>
        </w:tc>
        <w:tc>
          <w:tcPr>
            <w:cnfStyle w:val="000001000000" w:firstRow="0" w:lastRow="0" w:firstColumn="0" w:lastColumn="0" w:oddVBand="0" w:evenVBand="1" w:oddHBand="0" w:evenHBand="0" w:firstRowFirstColumn="0" w:firstRowLastColumn="0" w:lastRowFirstColumn="0" w:lastRowLastColumn="0"/>
            <w:tcW w:w="4394" w:type="dxa"/>
          </w:tcPr>
          <w:p w14:paraId="7F00CB46" w14:textId="77777777" w:rsidR="003223FE" w:rsidRPr="00050358" w:rsidRDefault="003223FE" w:rsidP="00050358">
            <w:r w:rsidRPr="00050358">
              <w:t>Changes made</w:t>
            </w:r>
          </w:p>
        </w:tc>
      </w:tr>
      <w:tr w:rsidR="003223FE" w:rsidRPr="00050358" w14:paraId="7C8CD4F0"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311EAB95" w14:textId="220882DE" w:rsidR="003223FE" w:rsidRPr="00050358" w:rsidRDefault="00865871" w:rsidP="00050358">
            <w:r>
              <w:t>1.1</w:t>
            </w:r>
          </w:p>
        </w:tc>
        <w:tc>
          <w:tcPr>
            <w:cnfStyle w:val="000001000000" w:firstRow="0" w:lastRow="0" w:firstColumn="0" w:lastColumn="0" w:oddVBand="0" w:evenVBand="1" w:oddHBand="0" w:evenHBand="0" w:firstRowFirstColumn="0" w:firstRowLastColumn="0" w:lastRowFirstColumn="0" w:lastRowLastColumn="0"/>
            <w:tcW w:w="2268" w:type="dxa"/>
          </w:tcPr>
          <w:p w14:paraId="00A94BD9" w14:textId="3057DD6A" w:rsidR="003223FE" w:rsidRPr="00050358" w:rsidRDefault="00865871" w:rsidP="00050358">
            <w:r>
              <w:t>27 January 2026</w:t>
            </w:r>
          </w:p>
        </w:tc>
        <w:tc>
          <w:tcPr>
            <w:cnfStyle w:val="000010000000" w:firstRow="0" w:lastRow="0" w:firstColumn="0" w:lastColumn="0" w:oddVBand="1" w:evenVBand="0" w:oddHBand="0" w:evenHBand="0" w:firstRowFirstColumn="0" w:firstRowLastColumn="0" w:lastRowFirstColumn="0" w:lastRowLastColumn="0"/>
            <w:tcW w:w="2551" w:type="dxa"/>
          </w:tcPr>
          <w:p w14:paraId="79CF79B4" w14:textId="640018BD" w:rsidR="003223FE" w:rsidRPr="00050358" w:rsidRDefault="00865871" w:rsidP="00050358">
            <w:r>
              <w:t>Tiziana Hucent</w:t>
            </w:r>
          </w:p>
        </w:tc>
        <w:tc>
          <w:tcPr>
            <w:cnfStyle w:val="000001000000" w:firstRow="0" w:lastRow="0" w:firstColumn="0" w:lastColumn="0" w:oddVBand="0" w:evenVBand="1" w:oddHBand="0" w:evenHBand="0" w:firstRowFirstColumn="0" w:firstRowLastColumn="0" w:lastRowFirstColumn="0" w:lastRowLastColumn="0"/>
            <w:tcW w:w="4394" w:type="dxa"/>
          </w:tcPr>
          <w:p w14:paraId="277CDF3C" w14:textId="69A6CF14" w:rsidR="003223FE" w:rsidRPr="00050358" w:rsidRDefault="00865871" w:rsidP="00050358">
            <w:r>
              <w:t>First version</w:t>
            </w:r>
          </w:p>
        </w:tc>
      </w:tr>
      <w:tr w:rsidR="003223FE" w:rsidRPr="00050358" w14:paraId="2258D56D" w14:textId="77777777" w:rsidTr="009B34DD">
        <w:trPr>
          <w:cnfStyle w:val="000000010000" w:firstRow="0" w:lastRow="0" w:firstColumn="0" w:lastColumn="0" w:oddVBand="0" w:evenVBand="0" w:oddHBand="0" w:evenHBand="1"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41D1FAB7"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14:paraId="2F8C1E51" w14:textId="77777777"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14:paraId="2D73C91E"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14:paraId="4DF74682" w14:textId="77777777" w:rsidR="003223FE" w:rsidRPr="00050358" w:rsidRDefault="003223FE" w:rsidP="00050358"/>
        </w:tc>
      </w:tr>
      <w:tr w:rsidR="003223FE" w:rsidRPr="00050358" w14:paraId="09350FD3" w14:textId="77777777" w:rsidTr="009B34DD">
        <w:trPr>
          <w:cnfStyle w:val="000000100000" w:firstRow="0" w:lastRow="0" w:firstColumn="0" w:lastColumn="0" w:oddVBand="0" w:evenVBand="0" w:oddHBand="1" w:evenHBand="0" w:firstRowFirstColumn="0" w:firstRowLastColumn="0" w:lastRowFirstColumn="0" w:lastRowLastColumn="0"/>
          <w:trHeight w:val="431"/>
        </w:trPr>
        <w:tc>
          <w:tcPr>
            <w:cnfStyle w:val="000010000000" w:firstRow="0" w:lastRow="0" w:firstColumn="0" w:lastColumn="0" w:oddVBand="1" w:evenVBand="0" w:oddHBand="0" w:evenHBand="0" w:firstRowFirstColumn="0" w:firstRowLastColumn="0" w:lastRowFirstColumn="0" w:lastRowLastColumn="0"/>
            <w:tcW w:w="1128" w:type="dxa"/>
          </w:tcPr>
          <w:p w14:paraId="4500752A"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2268" w:type="dxa"/>
          </w:tcPr>
          <w:p w14:paraId="3D9B996F" w14:textId="77777777" w:rsidR="003223FE" w:rsidRPr="00050358" w:rsidRDefault="003223FE" w:rsidP="00050358"/>
        </w:tc>
        <w:tc>
          <w:tcPr>
            <w:cnfStyle w:val="000010000000" w:firstRow="0" w:lastRow="0" w:firstColumn="0" w:lastColumn="0" w:oddVBand="1" w:evenVBand="0" w:oddHBand="0" w:evenHBand="0" w:firstRowFirstColumn="0" w:firstRowLastColumn="0" w:lastRowFirstColumn="0" w:lastRowLastColumn="0"/>
            <w:tcW w:w="2551" w:type="dxa"/>
          </w:tcPr>
          <w:p w14:paraId="155A149D" w14:textId="77777777" w:rsidR="003223FE" w:rsidRPr="00050358" w:rsidRDefault="003223FE" w:rsidP="00050358"/>
        </w:tc>
        <w:tc>
          <w:tcPr>
            <w:cnfStyle w:val="000001000000" w:firstRow="0" w:lastRow="0" w:firstColumn="0" w:lastColumn="0" w:oddVBand="0" w:evenVBand="1" w:oddHBand="0" w:evenHBand="0" w:firstRowFirstColumn="0" w:firstRowLastColumn="0" w:lastRowFirstColumn="0" w:lastRowLastColumn="0"/>
            <w:tcW w:w="4394" w:type="dxa"/>
          </w:tcPr>
          <w:p w14:paraId="3BD583FB" w14:textId="77777777" w:rsidR="003223FE" w:rsidRPr="00050358" w:rsidRDefault="003223FE" w:rsidP="00050358"/>
        </w:tc>
      </w:tr>
    </w:tbl>
    <w:p w14:paraId="53ACCABF" w14:textId="77777777" w:rsidR="003223FE" w:rsidRDefault="003223FE" w:rsidP="00702D61"/>
    <w:p w14:paraId="53F4AA58" w14:textId="77777777" w:rsidR="00702D61" w:rsidRDefault="00702D61" w:rsidP="00702D61">
      <w:r>
        <w:br w:type="page"/>
      </w:r>
    </w:p>
    <w:sdt>
      <w:sdtPr>
        <w:rPr>
          <w:rFonts w:ascii="Lato" w:eastAsia="Calibri" w:hAnsi="Lato" w:cs="Times New Roman"/>
          <w:b/>
          <w:bCs w:val="0"/>
          <w:color w:val="auto"/>
          <w:sz w:val="22"/>
          <w:szCs w:val="22"/>
        </w:rPr>
        <w:id w:val="-88318220"/>
        <w:docPartObj>
          <w:docPartGallery w:val="Table of Contents"/>
          <w:docPartUnique/>
        </w:docPartObj>
      </w:sdtPr>
      <w:sdtEndPr>
        <w:rPr>
          <w:b w:val="0"/>
          <w:noProof/>
        </w:rPr>
      </w:sdtEndPr>
      <w:sdtContent>
        <w:p w14:paraId="6C37E3C8" w14:textId="77777777" w:rsidR="00964B22" w:rsidRPr="00804ECA" w:rsidRDefault="00964B22" w:rsidP="00F479D5">
          <w:pPr>
            <w:pStyle w:val="TOCHeading"/>
            <w:tabs>
              <w:tab w:val="left" w:pos="8601"/>
            </w:tabs>
            <w:rPr>
              <w:lang w:eastAsia="ja-JP"/>
            </w:rPr>
          </w:pPr>
          <w:r w:rsidRPr="00804ECA">
            <w:t>Contents</w:t>
          </w:r>
        </w:p>
        <w:p w14:paraId="6D62B418" w14:textId="256CE27F" w:rsidR="00C14069" w:rsidRDefault="006747E0">
          <w:pPr>
            <w:pStyle w:val="TOC1"/>
            <w:rPr>
              <w:rFonts w:asciiTheme="minorHAnsi" w:eastAsiaTheme="minorEastAsia" w:hAnsiTheme="minorHAnsi" w:cstheme="minorBidi"/>
              <w:b w:val="0"/>
              <w:noProof/>
              <w:kern w:val="2"/>
              <w:sz w:val="24"/>
              <w:szCs w:val="24"/>
              <w:lang w:eastAsia="en-AU"/>
              <w14:ligatures w14:val="standardContextual"/>
            </w:rPr>
          </w:pPr>
          <w:r w:rsidRPr="00804ECA">
            <w:rPr>
              <w:rFonts w:eastAsiaTheme="minorEastAsia" w:cs="Arial"/>
              <w:lang w:eastAsia="en-AU"/>
            </w:rPr>
            <w:fldChar w:fldCharType="begin"/>
          </w:r>
          <w:r w:rsidRPr="00804ECA">
            <w:rPr>
              <w:rFonts w:eastAsiaTheme="minorEastAsia" w:cs="Arial"/>
              <w:lang w:eastAsia="en-AU"/>
            </w:rPr>
            <w:instrText xml:space="preserve"> TOC \o "1-4" \h \z \u </w:instrText>
          </w:r>
          <w:r w:rsidRPr="00804ECA">
            <w:rPr>
              <w:rFonts w:eastAsiaTheme="minorEastAsia" w:cs="Arial"/>
              <w:lang w:eastAsia="en-AU"/>
            </w:rPr>
            <w:fldChar w:fldCharType="separate"/>
          </w:r>
          <w:hyperlink w:anchor="_Toc222755588" w:history="1">
            <w:r w:rsidR="00C14069" w:rsidRPr="00C726BF">
              <w:rPr>
                <w:rStyle w:val="Hyperlink"/>
                <w:noProof/>
                <w:lang w:eastAsia="en-AU"/>
              </w:rPr>
              <w:t>1. Purpose</w:t>
            </w:r>
            <w:r w:rsidR="00C14069">
              <w:rPr>
                <w:noProof/>
                <w:webHidden/>
              </w:rPr>
              <w:tab/>
            </w:r>
            <w:r w:rsidR="00C14069">
              <w:rPr>
                <w:noProof/>
                <w:webHidden/>
              </w:rPr>
              <w:fldChar w:fldCharType="begin"/>
            </w:r>
            <w:r w:rsidR="00C14069">
              <w:rPr>
                <w:noProof/>
                <w:webHidden/>
              </w:rPr>
              <w:instrText xml:space="preserve"> PAGEREF _Toc222755588 \h </w:instrText>
            </w:r>
            <w:r w:rsidR="00C14069">
              <w:rPr>
                <w:noProof/>
                <w:webHidden/>
              </w:rPr>
            </w:r>
            <w:r w:rsidR="00C14069">
              <w:rPr>
                <w:noProof/>
                <w:webHidden/>
              </w:rPr>
              <w:fldChar w:fldCharType="separate"/>
            </w:r>
            <w:r w:rsidR="00C14069">
              <w:rPr>
                <w:noProof/>
                <w:webHidden/>
              </w:rPr>
              <w:t>4</w:t>
            </w:r>
            <w:r w:rsidR="00C14069">
              <w:rPr>
                <w:noProof/>
                <w:webHidden/>
              </w:rPr>
              <w:fldChar w:fldCharType="end"/>
            </w:r>
          </w:hyperlink>
        </w:p>
        <w:p w14:paraId="7EA3E757" w14:textId="12D54AE5" w:rsidR="00C14069" w:rsidRDefault="00C14069">
          <w:pPr>
            <w:pStyle w:val="TOC1"/>
            <w:rPr>
              <w:rFonts w:asciiTheme="minorHAnsi" w:eastAsiaTheme="minorEastAsia" w:hAnsiTheme="minorHAnsi" w:cstheme="minorBidi"/>
              <w:b w:val="0"/>
              <w:noProof/>
              <w:kern w:val="2"/>
              <w:sz w:val="24"/>
              <w:szCs w:val="24"/>
              <w:lang w:eastAsia="en-AU"/>
              <w14:ligatures w14:val="standardContextual"/>
            </w:rPr>
          </w:pPr>
          <w:hyperlink w:anchor="_Toc222755589" w:history="1">
            <w:r w:rsidRPr="00C726BF">
              <w:rPr>
                <w:rStyle w:val="Hyperlink"/>
                <w:noProof/>
                <w:lang w:eastAsia="en-AU"/>
              </w:rPr>
              <w:t>2. End of financial year processes</w:t>
            </w:r>
            <w:r>
              <w:rPr>
                <w:noProof/>
                <w:webHidden/>
              </w:rPr>
              <w:tab/>
            </w:r>
            <w:r>
              <w:rPr>
                <w:noProof/>
                <w:webHidden/>
              </w:rPr>
              <w:fldChar w:fldCharType="begin"/>
            </w:r>
            <w:r>
              <w:rPr>
                <w:noProof/>
                <w:webHidden/>
              </w:rPr>
              <w:instrText xml:space="preserve"> PAGEREF _Toc222755589 \h </w:instrText>
            </w:r>
            <w:r>
              <w:rPr>
                <w:noProof/>
                <w:webHidden/>
              </w:rPr>
            </w:r>
            <w:r>
              <w:rPr>
                <w:noProof/>
                <w:webHidden/>
              </w:rPr>
              <w:fldChar w:fldCharType="separate"/>
            </w:r>
            <w:r>
              <w:rPr>
                <w:noProof/>
                <w:webHidden/>
              </w:rPr>
              <w:t>4</w:t>
            </w:r>
            <w:r>
              <w:rPr>
                <w:noProof/>
                <w:webHidden/>
              </w:rPr>
              <w:fldChar w:fldCharType="end"/>
            </w:r>
          </w:hyperlink>
        </w:p>
        <w:p w14:paraId="70EEE0B9" w14:textId="6D817911"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0" w:history="1">
            <w:r w:rsidRPr="00C726BF">
              <w:rPr>
                <w:rStyle w:val="Hyperlink"/>
                <w:noProof/>
                <w:lang w:eastAsia="en-AU"/>
              </w:rPr>
              <w:t>2.1. Throughout the year - Pre-end of year activities</w:t>
            </w:r>
            <w:r>
              <w:rPr>
                <w:noProof/>
                <w:webHidden/>
              </w:rPr>
              <w:tab/>
            </w:r>
            <w:r>
              <w:rPr>
                <w:noProof/>
                <w:webHidden/>
              </w:rPr>
              <w:fldChar w:fldCharType="begin"/>
            </w:r>
            <w:r>
              <w:rPr>
                <w:noProof/>
                <w:webHidden/>
              </w:rPr>
              <w:instrText xml:space="preserve"> PAGEREF _Toc222755590 \h </w:instrText>
            </w:r>
            <w:r>
              <w:rPr>
                <w:noProof/>
                <w:webHidden/>
              </w:rPr>
            </w:r>
            <w:r>
              <w:rPr>
                <w:noProof/>
                <w:webHidden/>
              </w:rPr>
              <w:fldChar w:fldCharType="separate"/>
            </w:r>
            <w:r>
              <w:rPr>
                <w:noProof/>
                <w:webHidden/>
              </w:rPr>
              <w:t>4</w:t>
            </w:r>
            <w:r>
              <w:rPr>
                <w:noProof/>
                <w:webHidden/>
              </w:rPr>
              <w:fldChar w:fldCharType="end"/>
            </w:r>
          </w:hyperlink>
        </w:p>
        <w:p w14:paraId="17301D9C" w14:textId="13169F90"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1" w:history="1">
            <w:r w:rsidRPr="00C726BF">
              <w:rPr>
                <w:rStyle w:val="Hyperlink"/>
                <w:noProof/>
                <w:lang w:eastAsia="en-AU"/>
              </w:rPr>
              <w:t>2.2. End of year planning</w:t>
            </w:r>
            <w:r>
              <w:rPr>
                <w:noProof/>
                <w:webHidden/>
              </w:rPr>
              <w:tab/>
            </w:r>
            <w:r>
              <w:rPr>
                <w:noProof/>
                <w:webHidden/>
              </w:rPr>
              <w:fldChar w:fldCharType="begin"/>
            </w:r>
            <w:r>
              <w:rPr>
                <w:noProof/>
                <w:webHidden/>
              </w:rPr>
              <w:instrText xml:space="preserve"> PAGEREF _Toc222755591 \h </w:instrText>
            </w:r>
            <w:r>
              <w:rPr>
                <w:noProof/>
                <w:webHidden/>
              </w:rPr>
            </w:r>
            <w:r>
              <w:rPr>
                <w:noProof/>
                <w:webHidden/>
              </w:rPr>
              <w:fldChar w:fldCharType="separate"/>
            </w:r>
            <w:r>
              <w:rPr>
                <w:noProof/>
                <w:webHidden/>
              </w:rPr>
              <w:t>4</w:t>
            </w:r>
            <w:r>
              <w:rPr>
                <w:noProof/>
                <w:webHidden/>
              </w:rPr>
              <w:fldChar w:fldCharType="end"/>
            </w:r>
          </w:hyperlink>
        </w:p>
        <w:p w14:paraId="2BEC9BA7" w14:textId="5E8B1656"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2" w:history="1">
            <w:r w:rsidRPr="00C726BF">
              <w:rPr>
                <w:rStyle w:val="Hyperlink"/>
                <w:noProof/>
                <w:lang w:eastAsia="en-AU"/>
              </w:rPr>
              <w:t>2.3. Perform end of financial year adjustments (Period 14)</w:t>
            </w:r>
            <w:r>
              <w:rPr>
                <w:noProof/>
                <w:webHidden/>
              </w:rPr>
              <w:tab/>
            </w:r>
            <w:r>
              <w:rPr>
                <w:noProof/>
                <w:webHidden/>
              </w:rPr>
              <w:fldChar w:fldCharType="begin"/>
            </w:r>
            <w:r>
              <w:rPr>
                <w:noProof/>
                <w:webHidden/>
              </w:rPr>
              <w:instrText xml:space="preserve"> PAGEREF _Toc222755592 \h </w:instrText>
            </w:r>
            <w:r>
              <w:rPr>
                <w:noProof/>
                <w:webHidden/>
              </w:rPr>
            </w:r>
            <w:r>
              <w:rPr>
                <w:noProof/>
                <w:webHidden/>
              </w:rPr>
              <w:fldChar w:fldCharType="separate"/>
            </w:r>
            <w:r>
              <w:rPr>
                <w:noProof/>
                <w:webHidden/>
              </w:rPr>
              <w:t>5</w:t>
            </w:r>
            <w:r>
              <w:rPr>
                <w:noProof/>
                <w:webHidden/>
              </w:rPr>
              <w:fldChar w:fldCharType="end"/>
            </w:r>
          </w:hyperlink>
        </w:p>
        <w:p w14:paraId="2F1C0F10" w14:textId="1E1FD5CE"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3" w:history="1">
            <w:r w:rsidRPr="00C726BF">
              <w:rPr>
                <w:rStyle w:val="Hyperlink"/>
                <w:noProof/>
                <w:lang w:eastAsia="en-AU"/>
              </w:rPr>
              <w:t>2.4. Complete all end of financial year reconciliations</w:t>
            </w:r>
            <w:r>
              <w:rPr>
                <w:noProof/>
                <w:webHidden/>
              </w:rPr>
              <w:tab/>
            </w:r>
            <w:r>
              <w:rPr>
                <w:noProof/>
                <w:webHidden/>
              </w:rPr>
              <w:fldChar w:fldCharType="begin"/>
            </w:r>
            <w:r>
              <w:rPr>
                <w:noProof/>
                <w:webHidden/>
              </w:rPr>
              <w:instrText xml:space="preserve"> PAGEREF _Toc222755593 \h </w:instrText>
            </w:r>
            <w:r>
              <w:rPr>
                <w:noProof/>
                <w:webHidden/>
              </w:rPr>
            </w:r>
            <w:r>
              <w:rPr>
                <w:noProof/>
                <w:webHidden/>
              </w:rPr>
              <w:fldChar w:fldCharType="separate"/>
            </w:r>
            <w:r>
              <w:rPr>
                <w:noProof/>
                <w:webHidden/>
              </w:rPr>
              <w:t>5</w:t>
            </w:r>
            <w:r>
              <w:rPr>
                <w:noProof/>
                <w:webHidden/>
              </w:rPr>
              <w:fldChar w:fldCharType="end"/>
            </w:r>
          </w:hyperlink>
        </w:p>
        <w:p w14:paraId="627AB7E5" w14:textId="07E5C70D"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4" w:history="1">
            <w:r w:rsidRPr="00C726BF">
              <w:rPr>
                <w:rStyle w:val="Hyperlink"/>
                <w:noProof/>
                <w:lang w:eastAsia="en-AU"/>
              </w:rPr>
              <w:t>2.5. Conduct analytical review</w:t>
            </w:r>
            <w:r>
              <w:rPr>
                <w:noProof/>
                <w:webHidden/>
              </w:rPr>
              <w:tab/>
            </w:r>
            <w:r>
              <w:rPr>
                <w:noProof/>
                <w:webHidden/>
              </w:rPr>
              <w:fldChar w:fldCharType="begin"/>
            </w:r>
            <w:r>
              <w:rPr>
                <w:noProof/>
                <w:webHidden/>
              </w:rPr>
              <w:instrText xml:space="preserve"> PAGEREF _Toc222755594 \h </w:instrText>
            </w:r>
            <w:r>
              <w:rPr>
                <w:noProof/>
                <w:webHidden/>
              </w:rPr>
            </w:r>
            <w:r>
              <w:rPr>
                <w:noProof/>
                <w:webHidden/>
              </w:rPr>
              <w:fldChar w:fldCharType="separate"/>
            </w:r>
            <w:r>
              <w:rPr>
                <w:noProof/>
                <w:webHidden/>
              </w:rPr>
              <w:t>5</w:t>
            </w:r>
            <w:r>
              <w:rPr>
                <w:noProof/>
                <w:webHidden/>
              </w:rPr>
              <w:fldChar w:fldCharType="end"/>
            </w:r>
          </w:hyperlink>
        </w:p>
        <w:p w14:paraId="18EDB94A" w14:textId="6D92955C"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5" w:history="1">
            <w:r w:rsidRPr="00C726BF">
              <w:rPr>
                <w:rStyle w:val="Hyperlink"/>
                <w:noProof/>
                <w:lang w:eastAsia="en-AU"/>
              </w:rPr>
              <w:t>2.6. Ensure compliance with accounting standards and policies</w:t>
            </w:r>
            <w:r>
              <w:rPr>
                <w:noProof/>
                <w:webHidden/>
              </w:rPr>
              <w:tab/>
            </w:r>
            <w:r>
              <w:rPr>
                <w:noProof/>
                <w:webHidden/>
              </w:rPr>
              <w:fldChar w:fldCharType="begin"/>
            </w:r>
            <w:r>
              <w:rPr>
                <w:noProof/>
                <w:webHidden/>
              </w:rPr>
              <w:instrText xml:space="preserve"> PAGEREF _Toc222755595 \h </w:instrText>
            </w:r>
            <w:r>
              <w:rPr>
                <w:noProof/>
                <w:webHidden/>
              </w:rPr>
            </w:r>
            <w:r>
              <w:rPr>
                <w:noProof/>
                <w:webHidden/>
              </w:rPr>
              <w:fldChar w:fldCharType="separate"/>
            </w:r>
            <w:r>
              <w:rPr>
                <w:noProof/>
                <w:webHidden/>
              </w:rPr>
              <w:t>5</w:t>
            </w:r>
            <w:r>
              <w:rPr>
                <w:noProof/>
                <w:webHidden/>
              </w:rPr>
              <w:fldChar w:fldCharType="end"/>
            </w:r>
          </w:hyperlink>
        </w:p>
        <w:p w14:paraId="72EA1157" w14:textId="55E54F4B"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6" w:history="1">
            <w:r w:rsidRPr="00C726BF">
              <w:rPr>
                <w:rStyle w:val="Hyperlink"/>
                <w:noProof/>
                <w:lang w:eastAsia="en-AU"/>
              </w:rPr>
              <w:t>2.7. Prepare draft financial statements</w:t>
            </w:r>
            <w:r>
              <w:rPr>
                <w:noProof/>
                <w:webHidden/>
              </w:rPr>
              <w:tab/>
            </w:r>
            <w:r>
              <w:rPr>
                <w:noProof/>
                <w:webHidden/>
              </w:rPr>
              <w:fldChar w:fldCharType="begin"/>
            </w:r>
            <w:r>
              <w:rPr>
                <w:noProof/>
                <w:webHidden/>
              </w:rPr>
              <w:instrText xml:space="preserve"> PAGEREF _Toc222755596 \h </w:instrText>
            </w:r>
            <w:r>
              <w:rPr>
                <w:noProof/>
                <w:webHidden/>
              </w:rPr>
            </w:r>
            <w:r>
              <w:rPr>
                <w:noProof/>
                <w:webHidden/>
              </w:rPr>
              <w:fldChar w:fldCharType="separate"/>
            </w:r>
            <w:r>
              <w:rPr>
                <w:noProof/>
                <w:webHidden/>
              </w:rPr>
              <w:t>6</w:t>
            </w:r>
            <w:r>
              <w:rPr>
                <w:noProof/>
                <w:webHidden/>
              </w:rPr>
              <w:fldChar w:fldCharType="end"/>
            </w:r>
          </w:hyperlink>
        </w:p>
        <w:p w14:paraId="18A81F0F" w14:textId="3281AC36"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7" w:history="1">
            <w:r w:rsidRPr="00C726BF">
              <w:rPr>
                <w:rStyle w:val="Hyperlink"/>
                <w:rFonts w:eastAsia="Times New Roman"/>
                <w:noProof/>
                <w:lang w:eastAsia="en-AU"/>
              </w:rPr>
              <w:t>2.8. Prepare audit documentation</w:t>
            </w:r>
            <w:r>
              <w:rPr>
                <w:noProof/>
                <w:webHidden/>
              </w:rPr>
              <w:tab/>
            </w:r>
            <w:r>
              <w:rPr>
                <w:noProof/>
                <w:webHidden/>
              </w:rPr>
              <w:fldChar w:fldCharType="begin"/>
            </w:r>
            <w:r>
              <w:rPr>
                <w:noProof/>
                <w:webHidden/>
              </w:rPr>
              <w:instrText xml:space="preserve"> PAGEREF _Toc222755597 \h </w:instrText>
            </w:r>
            <w:r>
              <w:rPr>
                <w:noProof/>
                <w:webHidden/>
              </w:rPr>
            </w:r>
            <w:r>
              <w:rPr>
                <w:noProof/>
                <w:webHidden/>
              </w:rPr>
              <w:fldChar w:fldCharType="separate"/>
            </w:r>
            <w:r>
              <w:rPr>
                <w:noProof/>
                <w:webHidden/>
              </w:rPr>
              <w:t>6</w:t>
            </w:r>
            <w:r>
              <w:rPr>
                <w:noProof/>
                <w:webHidden/>
              </w:rPr>
              <w:fldChar w:fldCharType="end"/>
            </w:r>
          </w:hyperlink>
        </w:p>
        <w:p w14:paraId="04BC3E05" w14:textId="41E4FA5D"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8" w:history="1">
            <w:r w:rsidRPr="00C726BF">
              <w:rPr>
                <w:rStyle w:val="Hyperlink"/>
                <w:noProof/>
                <w:lang w:eastAsia="en-AU"/>
              </w:rPr>
              <w:t>2.9. Engage with auditors</w:t>
            </w:r>
            <w:r>
              <w:rPr>
                <w:noProof/>
                <w:webHidden/>
              </w:rPr>
              <w:tab/>
            </w:r>
            <w:r>
              <w:rPr>
                <w:noProof/>
                <w:webHidden/>
              </w:rPr>
              <w:fldChar w:fldCharType="begin"/>
            </w:r>
            <w:r>
              <w:rPr>
                <w:noProof/>
                <w:webHidden/>
              </w:rPr>
              <w:instrText xml:space="preserve"> PAGEREF _Toc222755598 \h </w:instrText>
            </w:r>
            <w:r>
              <w:rPr>
                <w:noProof/>
                <w:webHidden/>
              </w:rPr>
            </w:r>
            <w:r>
              <w:rPr>
                <w:noProof/>
                <w:webHidden/>
              </w:rPr>
              <w:fldChar w:fldCharType="separate"/>
            </w:r>
            <w:r>
              <w:rPr>
                <w:noProof/>
                <w:webHidden/>
              </w:rPr>
              <w:t>6</w:t>
            </w:r>
            <w:r>
              <w:rPr>
                <w:noProof/>
                <w:webHidden/>
              </w:rPr>
              <w:fldChar w:fldCharType="end"/>
            </w:r>
          </w:hyperlink>
        </w:p>
        <w:p w14:paraId="44A408CD" w14:textId="3A66D973"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599" w:history="1">
            <w:r w:rsidRPr="00C726BF">
              <w:rPr>
                <w:rStyle w:val="Hyperlink"/>
                <w:noProof/>
                <w:lang w:eastAsia="en-AU"/>
              </w:rPr>
              <w:t>2.10. Finalise financial statements</w:t>
            </w:r>
            <w:r>
              <w:rPr>
                <w:noProof/>
                <w:webHidden/>
              </w:rPr>
              <w:tab/>
            </w:r>
            <w:r>
              <w:rPr>
                <w:noProof/>
                <w:webHidden/>
              </w:rPr>
              <w:fldChar w:fldCharType="begin"/>
            </w:r>
            <w:r>
              <w:rPr>
                <w:noProof/>
                <w:webHidden/>
              </w:rPr>
              <w:instrText xml:space="preserve"> PAGEREF _Toc222755599 \h </w:instrText>
            </w:r>
            <w:r>
              <w:rPr>
                <w:noProof/>
                <w:webHidden/>
              </w:rPr>
            </w:r>
            <w:r>
              <w:rPr>
                <w:noProof/>
                <w:webHidden/>
              </w:rPr>
              <w:fldChar w:fldCharType="separate"/>
            </w:r>
            <w:r>
              <w:rPr>
                <w:noProof/>
                <w:webHidden/>
              </w:rPr>
              <w:t>6</w:t>
            </w:r>
            <w:r>
              <w:rPr>
                <w:noProof/>
                <w:webHidden/>
              </w:rPr>
              <w:fldChar w:fldCharType="end"/>
            </w:r>
          </w:hyperlink>
        </w:p>
        <w:p w14:paraId="63F28925" w14:textId="18F805AC" w:rsidR="00C14069" w:rsidRDefault="00C14069">
          <w:pPr>
            <w:pStyle w:val="TOC1"/>
            <w:rPr>
              <w:rFonts w:asciiTheme="minorHAnsi" w:eastAsiaTheme="minorEastAsia" w:hAnsiTheme="minorHAnsi" w:cstheme="minorBidi"/>
              <w:b w:val="0"/>
              <w:noProof/>
              <w:kern w:val="2"/>
              <w:sz w:val="24"/>
              <w:szCs w:val="24"/>
              <w:lang w:eastAsia="en-AU"/>
              <w14:ligatures w14:val="standardContextual"/>
            </w:rPr>
          </w:pPr>
          <w:hyperlink w:anchor="_Toc222755600" w:history="1">
            <w:r w:rsidRPr="00C726BF">
              <w:rPr>
                <w:rStyle w:val="Hyperlink"/>
                <w:noProof/>
                <w:lang w:eastAsia="en-AU"/>
              </w:rPr>
              <w:t>3. End of financial year reconciliations</w:t>
            </w:r>
            <w:r>
              <w:rPr>
                <w:noProof/>
                <w:webHidden/>
              </w:rPr>
              <w:tab/>
            </w:r>
            <w:r>
              <w:rPr>
                <w:noProof/>
                <w:webHidden/>
              </w:rPr>
              <w:fldChar w:fldCharType="begin"/>
            </w:r>
            <w:r>
              <w:rPr>
                <w:noProof/>
                <w:webHidden/>
              </w:rPr>
              <w:instrText xml:space="preserve"> PAGEREF _Toc222755600 \h </w:instrText>
            </w:r>
            <w:r>
              <w:rPr>
                <w:noProof/>
                <w:webHidden/>
              </w:rPr>
            </w:r>
            <w:r>
              <w:rPr>
                <w:noProof/>
                <w:webHidden/>
              </w:rPr>
              <w:fldChar w:fldCharType="separate"/>
            </w:r>
            <w:r>
              <w:rPr>
                <w:noProof/>
                <w:webHidden/>
              </w:rPr>
              <w:t>6</w:t>
            </w:r>
            <w:r>
              <w:rPr>
                <w:noProof/>
                <w:webHidden/>
              </w:rPr>
              <w:fldChar w:fldCharType="end"/>
            </w:r>
          </w:hyperlink>
        </w:p>
        <w:p w14:paraId="6A844720" w14:textId="21CA974E"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1" w:history="1">
            <w:r w:rsidRPr="00C726BF">
              <w:rPr>
                <w:rStyle w:val="Hyperlink"/>
                <w:noProof/>
              </w:rPr>
              <w:t>3.1. Identify what needs to be reconciled</w:t>
            </w:r>
            <w:r>
              <w:rPr>
                <w:noProof/>
                <w:webHidden/>
              </w:rPr>
              <w:tab/>
            </w:r>
            <w:r>
              <w:rPr>
                <w:noProof/>
                <w:webHidden/>
              </w:rPr>
              <w:fldChar w:fldCharType="begin"/>
            </w:r>
            <w:r>
              <w:rPr>
                <w:noProof/>
                <w:webHidden/>
              </w:rPr>
              <w:instrText xml:space="preserve"> PAGEREF _Toc222755601 \h </w:instrText>
            </w:r>
            <w:r>
              <w:rPr>
                <w:noProof/>
                <w:webHidden/>
              </w:rPr>
            </w:r>
            <w:r>
              <w:rPr>
                <w:noProof/>
                <w:webHidden/>
              </w:rPr>
              <w:fldChar w:fldCharType="separate"/>
            </w:r>
            <w:r>
              <w:rPr>
                <w:noProof/>
                <w:webHidden/>
              </w:rPr>
              <w:t>7</w:t>
            </w:r>
            <w:r>
              <w:rPr>
                <w:noProof/>
                <w:webHidden/>
              </w:rPr>
              <w:fldChar w:fldCharType="end"/>
            </w:r>
          </w:hyperlink>
        </w:p>
        <w:p w14:paraId="6FA98C09" w14:textId="57CC1AA0"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2" w:history="1">
            <w:r w:rsidRPr="00C726BF">
              <w:rPr>
                <w:rStyle w:val="Hyperlink"/>
                <w:noProof/>
              </w:rPr>
              <w:t>3.2. Gather the necessary information</w:t>
            </w:r>
            <w:r>
              <w:rPr>
                <w:noProof/>
                <w:webHidden/>
              </w:rPr>
              <w:tab/>
            </w:r>
            <w:r>
              <w:rPr>
                <w:noProof/>
                <w:webHidden/>
              </w:rPr>
              <w:fldChar w:fldCharType="begin"/>
            </w:r>
            <w:r>
              <w:rPr>
                <w:noProof/>
                <w:webHidden/>
              </w:rPr>
              <w:instrText xml:space="preserve"> PAGEREF _Toc222755602 \h </w:instrText>
            </w:r>
            <w:r>
              <w:rPr>
                <w:noProof/>
                <w:webHidden/>
              </w:rPr>
            </w:r>
            <w:r>
              <w:rPr>
                <w:noProof/>
                <w:webHidden/>
              </w:rPr>
              <w:fldChar w:fldCharType="separate"/>
            </w:r>
            <w:r>
              <w:rPr>
                <w:noProof/>
                <w:webHidden/>
              </w:rPr>
              <w:t>7</w:t>
            </w:r>
            <w:r>
              <w:rPr>
                <w:noProof/>
                <w:webHidden/>
              </w:rPr>
              <w:fldChar w:fldCharType="end"/>
            </w:r>
          </w:hyperlink>
        </w:p>
        <w:p w14:paraId="566E274F" w14:textId="74D25554"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3" w:history="1">
            <w:r w:rsidRPr="00C726BF">
              <w:rPr>
                <w:rStyle w:val="Hyperlink"/>
                <w:noProof/>
              </w:rPr>
              <w:t>3.3. Investigate and resolve discrepancies</w:t>
            </w:r>
            <w:r>
              <w:rPr>
                <w:noProof/>
                <w:webHidden/>
              </w:rPr>
              <w:tab/>
            </w:r>
            <w:r>
              <w:rPr>
                <w:noProof/>
                <w:webHidden/>
              </w:rPr>
              <w:fldChar w:fldCharType="begin"/>
            </w:r>
            <w:r>
              <w:rPr>
                <w:noProof/>
                <w:webHidden/>
              </w:rPr>
              <w:instrText xml:space="preserve"> PAGEREF _Toc222755603 \h </w:instrText>
            </w:r>
            <w:r>
              <w:rPr>
                <w:noProof/>
                <w:webHidden/>
              </w:rPr>
            </w:r>
            <w:r>
              <w:rPr>
                <w:noProof/>
                <w:webHidden/>
              </w:rPr>
              <w:fldChar w:fldCharType="separate"/>
            </w:r>
            <w:r>
              <w:rPr>
                <w:noProof/>
                <w:webHidden/>
              </w:rPr>
              <w:t>7</w:t>
            </w:r>
            <w:r>
              <w:rPr>
                <w:noProof/>
                <w:webHidden/>
              </w:rPr>
              <w:fldChar w:fldCharType="end"/>
            </w:r>
          </w:hyperlink>
        </w:p>
        <w:p w14:paraId="5AE6ED38" w14:textId="2B83EC44"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4" w:history="1">
            <w:r w:rsidRPr="00C726BF">
              <w:rPr>
                <w:rStyle w:val="Hyperlink"/>
                <w:noProof/>
              </w:rPr>
              <w:t>3.4. Complete reconciliations</w:t>
            </w:r>
            <w:r>
              <w:rPr>
                <w:noProof/>
                <w:webHidden/>
              </w:rPr>
              <w:tab/>
            </w:r>
            <w:r>
              <w:rPr>
                <w:noProof/>
                <w:webHidden/>
              </w:rPr>
              <w:fldChar w:fldCharType="begin"/>
            </w:r>
            <w:r>
              <w:rPr>
                <w:noProof/>
                <w:webHidden/>
              </w:rPr>
              <w:instrText xml:space="preserve"> PAGEREF _Toc222755604 \h </w:instrText>
            </w:r>
            <w:r>
              <w:rPr>
                <w:noProof/>
                <w:webHidden/>
              </w:rPr>
            </w:r>
            <w:r>
              <w:rPr>
                <w:noProof/>
                <w:webHidden/>
              </w:rPr>
              <w:fldChar w:fldCharType="separate"/>
            </w:r>
            <w:r>
              <w:rPr>
                <w:noProof/>
                <w:webHidden/>
              </w:rPr>
              <w:t>7</w:t>
            </w:r>
            <w:r>
              <w:rPr>
                <w:noProof/>
                <w:webHidden/>
              </w:rPr>
              <w:fldChar w:fldCharType="end"/>
            </w:r>
          </w:hyperlink>
        </w:p>
        <w:p w14:paraId="68277048" w14:textId="000F0838" w:rsidR="00C14069" w:rsidRDefault="00C14069">
          <w:pPr>
            <w:pStyle w:val="TOC1"/>
            <w:rPr>
              <w:rFonts w:asciiTheme="minorHAnsi" w:eastAsiaTheme="minorEastAsia" w:hAnsiTheme="minorHAnsi" w:cstheme="minorBidi"/>
              <w:b w:val="0"/>
              <w:noProof/>
              <w:kern w:val="2"/>
              <w:sz w:val="24"/>
              <w:szCs w:val="24"/>
              <w:lang w:eastAsia="en-AU"/>
              <w14:ligatures w14:val="standardContextual"/>
            </w:rPr>
          </w:pPr>
          <w:hyperlink w:anchor="_Toc222755605" w:history="1">
            <w:r w:rsidRPr="00C726BF">
              <w:rPr>
                <w:rStyle w:val="Hyperlink"/>
                <w:noProof/>
              </w:rPr>
              <w:t>4. Analytical review</w:t>
            </w:r>
            <w:r>
              <w:rPr>
                <w:noProof/>
                <w:webHidden/>
              </w:rPr>
              <w:tab/>
            </w:r>
            <w:r>
              <w:rPr>
                <w:noProof/>
                <w:webHidden/>
              </w:rPr>
              <w:fldChar w:fldCharType="begin"/>
            </w:r>
            <w:r>
              <w:rPr>
                <w:noProof/>
                <w:webHidden/>
              </w:rPr>
              <w:instrText xml:space="preserve"> PAGEREF _Toc222755605 \h </w:instrText>
            </w:r>
            <w:r>
              <w:rPr>
                <w:noProof/>
                <w:webHidden/>
              </w:rPr>
            </w:r>
            <w:r>
              <w:rPr>
                <w:noProof/>
                <w:webHidden/>
              </w:rPr>
              <w:fldChar w:fldCharType="separate"/>
            </w:r>
            <w:r>
              <w:rPr>
                <w:noProof/>
                <w:webHidden/>
              </w:rPr>
              <w:t>8</w:t>
            </w:r>
            <w:r>
              <w:rPr>
                <w:noProof/>
                <w:webHidden/>
              </w:rPr>
              <w:fldChar w:fldCharType="end"/>
            </w:r>
          </w:hyperlink>
        </w:p>
        <w:p w14:paraId="4C0B6C6C" w14:textId="2DE404C2"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6" w:history="1">
            <w:r w:rsidRPr="00C726BF">
              <w:rPr>
                <w:rStyle w:val="Hyperlink"/>
                <w:noProof/>
              </w:rPr>
              <w:t>4.1. Setting materiality thresholds ($$ and/or %)</w:t>
            </w:r>
            <w:r>
              <w:rPr>
                <w:noProof/>
                <w:webHidden/>
              </w:rPr>
              <w:tab/>
            </w:r>
            <w:r>
              <w:rPr>
                <w:noProof/>
                <w:webHidden/>
              </w:rPr>
              <w:fldChar w:fldCharType="begin"/>
            </w:r>
            <w:r>
              <w:rPr>
                <w:noProof/>
                <w:webHidden/>
              </w:rPr>
              <w:instrText xml:space="preserve"> PAGEREF _Toc222755606 \h </w:instrText>
            </w:r>
            <w:r>
              <w:rPr>
                <w:noProof/>
                <w:webHidden/>
              </w:rPr>
            </w:r>
            <w:r>
              <w:rPr>
                <w:noProof/>
                <w:webHidden/>
              </w:rPr>
              <w:fldChar w:fldCharType="separate"/>
            </w:r>
            <w:r>
              <w:rPr>
                <w:noProof/>
                <w:webHidden/>
              </w:rPr>
              <w:t>8</w:t>
            </w:r>
            <w:r>
              <w:rPr>
                <w:noProof/>
                <w:webHidden/>
              </w:rPr>
              <w:fldChar w:fldCharType="end"/>
            </w:r>
          </w:hyperlink>
        </w:p>
        <w:p w14:paraId="6D4B4525" w14:textId="0DF7CDDC"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07" w:history="1">
            <w:r w:rsidRPr="00C726BF">
              <w:rPr>
                <w:rStyle w:val="Hyperlink"/>
                <w:noProof/>
              </w:rPr>
              <w:t>4.2. Budget vs Actual Analysis (BvA)</w:t>
            </w:r>
            <w:r>
              <w:rPr>
                <w:noProof/>
                <w:webHidden/>
              </w:rPr>
              <w:tab/>
            </w:r>
            <w:r>
              <w:rPr>
                <w:noProof/>
                <w:webHidden/>
              </w:rPr>
              <w:fldChar w:fldCharType="begin"/>
            </w:r>
            <w:r>
              <w:rPr>
                <w:noProof/>
                <w:webHidden/>
              </w:rPr>
              <w:instrText xml:space="preserve"> PAGEREF _Toc222755607 \h </w:instrText>
            </w:r>
            <w:r>
              <w:rPr>
                <w:noProof/>
                <w:webHidden/>
              </w:rPr>
            </w:r>
            <w:r>
              <w:rPr>
                <w:noProof/>
                <w:webHidden/>
              </w:rPr>
              <w:fldChar w:fldCharType="separate"/>
            </w:r>
            <w:r>
              <w:rPr>
                <w:noProof/>
                <w:webHidden/>
              </w:rPr>
              <w:t>9</w:t>
            </w:r>
            <w:r>
              <w:rPr>
                <w:noProof/>
                <w:webHidden/>
              </w:rPr>
              <w:fldChar w:fldCharType="end"/>
            </w:r>
          </w:hyperlink>
        </w:p>
        <w:p w14:paraId="7BA89B71" w14:textId="1ED5F08A"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08" w:history="1">
            <w:r w:rsidRPr="00C726BF">
              <w:rPr>
                <w:rStyle w:val="Hyperlink"/>
                <w:noProof/>
              </w:rPr>
              <w:t>4.2.1. Approved (Original) Budget v Actual</w:t>
            </w:r>
            <w:r>
              <w:rPr>
                <w:noProof/>
                <w:webHidden/>
              </w:rPr>
              <w:tab/>
            </w:r>
            <w:r>
              <w:rPr>
                <w:noProof/>
                <w:webHidden/>
              </w:rPr>
              <w:fldChar w:fldCharType="begin"/>
            </w:r>
            <w:r>
              <w:rPr>
                <w:noProof/>
                <w:webHidden/>
              </w:rPr>
              <w:instrText xml:space="preserve"> PAGEREF _Toc222755608 \h </w:instrText>
            </w:r>
            <w:r>
              <w:rPr>
                <w:noProof/>
                <w:webHidden/>
              </w:rPr>
            </w:r>
            <w:r>
              <w:rPr>
                <w:noProof/>
                <w:webHidden/>
              </w:rPr>
              <w:fldChar w:fldCharType="separate"/>
            </w:r>
            <w:r>
              <w:rPr>
                <w:noProof/>
                <w:webHidden/>
              </w:rPr>
              <w:t>9</w:t>
            </w:r>
            <w:r>
              <w:rPr>
                <w:noProof/>
                <w:webHidden/>
              </w:rPr>
              <w:fldChar w:fldCharType="end"/>
            </w:r>
          </w:hyperlink>
        </w:p>
        <w:p w14:paraId="0E6039C3" w14:textId="25A83EC1"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09" w:history="1">
            <w:r w:rsidRPr="00C726BF">
              <w:rPr>
                <w:rStyle w:val="Hyperlink"/>
                <w:noProof/>
              </w:rPr>
              <w:t>4.2.2. Final Approved Budget v Actual</w:t>
            </w:r>
            <w:r>
              <w:rPr>
                <w:noProof/>
                <w:webHidden/>
              </w:rPr>
              <w:tab/>
            </w:r>
            <w:r>
              <w:rPr>
                <w:noProof/>
                <w:webHidden/>
              </w:rPr>
              <w:fldChar w:fldCharType="begin"/>
            </w:r>
            <w:r>
              <w:rPr>
                <w:noProof/>
                <w:webHidden/>
              </w:rPr>
              <w:instrText xml:space="preserve"> PAGEREF _Toc222755609 \h </w:instrText>
            </w:r>
            <w:r>
              <w:rPr>
                <w:noProof/>
                <w:webHidden/>
              </w:rPr>
            </w:r>
            <w:r>
              <w:rPr>
                <w:noProof/>
                <w:webHidden/>
              </w:rPr>
              <w:fldChar w:fldCharType="separate"/>
            </w:r>
            <w:r>
              <w:rPr>
                <w:noProof/>
                <w:webHidden/>
              </w:rPr>
              <w:t>9</w:t>
            </w:r>
            <w:r>
              <w:rPr>
                <w:noProof/>
                <w:webHidden/>
              </w:rPr>
              <w:fldChar w:fldCharType="end"/>
            </w:r>
          </w:hyperlink>
        </w:p>
        <w:p w14:paraId="1C949D1F" w14:textId="3501E6BF"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10" w:history="1">
            <w:r w:rsidRPr="00C726BF">
              <w:rPr>
                <w:rStyle w:val="Hyperlink"/>
                <w:noProof/>
              </w:rPr>
              <w:t>4.3. Actual vs Actual Analysis (AvA)</w:t>
            </w:r>
            <w:r>
              <w:rPr>
                <w:noProof/>
                <w:webHidden/>
              </w:rPr>
              <w:tab/>
            </w:r>
            <w:r>
              <w:rPr>
                <w:noProof/>
                <w:webHidden/>
              </w:rPr>
              <w:fldChar w:fldCharType="begin"/>
            </w:r>
            <w:r>
              <w:rPr>
                <w:noProof/>
                <w:webHidden/>
              </w:rPr>
              <w:instrText xml:space="preserve"> PAGEREF _Toc222755610 \h </w:instrText>
            </w:r>
            <w:r>
              <w:rPr>
                <w:noProof/>
                <w:webHidden/>
              </w:rPr>
            </w:r>
            <w:r>
              <w:rPr>
                <w:noProof/>
                <w:webHidden/>
              </w:rPr>
              <w:fldChar w:fldCharType="separate"/>
            </w:r>
            <w:r>
              <w:rPr>
                <w:noProof/>
                <w:webHidden/>
              </w:rPr>
              <w:t>10</w:t>
            </w:r>
            <w:r>
              <w:rPr>
                <w:noProof/>
                <w:webHidden/>
              </w:rPr>
              <w:fldChar w:fldCharType="end"/>
            </w:r>
          </w:hyperlink>
        </w:p>
        <w:p w14:paraId="0C5C7958" w14:textId="3D882EDA" w:rsidR="00C14069" w:rsidRDefault="00C14069">
          <w:pPr>
            <w:pStyle w:val="TOC1"/>
            <w:rPr>
              <w:rFonts w:asciiTheme="minorHAnsi" w:eastAsiaTheme="minorEastAsia" w:hAnsiTheme="minorHAnsi" w:cstheme="minorBidi"/>
              <w:b w:val="0"/>
              <w:noProof/>
              <w:kern w:val="2"/>
              <w:sz w:val="24"/>
              <w:szCs w:val="24"/>
              <w:lang w:eastAsia="en-AU"/>
              <w14:ligatures w14:val="standardContextual"/>
            </w:rPr>
          </w:pPr>
          <w:hyperlink w:anchor="_Toc222755611" w:history="1">
            <w:r w:rsidRPr="00C726BF">
              <w:rPr>
                <w:rStyle w:val="Hyperlink"/>
                <w:noProof/>
              </w:rPr>
              <w:t>5. External audit</w:t>
            </w:r>
            <w:r>
              <w:rPr>
                <w:noProof/>
                <w:webHidden/>
              </w:rPr>
              <w:tab/>
            </w:r>
            <w:r>
              <w:rPr>
                <w:noProof/>
                <w:webHidden/>
              </w:rPr>
              <w:fldChar w:fldCharType="begin"/>
            </w:r>
            <w:r>
              <w:rPr>
                <w:noProof/>
                <w:webHidden/>
              </w:rPr>
              <w:instrText xml:space="preserve"> PAGEREF _Toc222755611 \h </w:instrText>
            </w:r>
            <w:r>
              <w:rPr>
                <w:noProof/>
                <w:webHidden/>
              </w:rPr>
            </w:r>
            <w:r>
              <w:rPr>
                <w:noProof/>
                <w:webHidden/>
              </w:rPr>
              <w:fldChar w:fldCharType="separate"/>
            </w:r>
            <w:r>
              <w:rPr>
                <w:noProof/>
                <w:webHidden/>
              </w:rPr>
              <w:t>10</w:t>
            </w:r>
            <w:r>
              <w:rPr>
                <w:noProof/>
                <w:webHidden/>
              </w:rPr>
              <w:fldChar w:fldCharType="end"/>
            </w:r>
          </w:hyperlink>
        </w:p>
        <w:p w14:paraId="52A7D898" w14:textId="65467BD3"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12" w:history="1">
            <w:r w:rsidRPr="00C726BF">
              <w:rPr>
                <w:rStyle w:val="Hyperlink"/>
                <w:noProof/>
                <w:lang w:eastAsia="en-AU"/>
              </w:rPr>
              <w:t>5.1. Audits of grant acquittals</w:t>
            </w:r>
            <w:r>
              <w:rPr>
                <w:noProof/>
                <w:webHidden/>
              </w:rPr>
              <w:tab/>
            </w:r>
            <w:r>
              <w:rPr>
                <w:noProof/>
                <w:webHidden/>
              </w:rPr>
              <w:fldChar w:fldCharType="begin"/>
            </w:r>
            <w:r>
              <w:rPr>
                <w:noProof/>
                <w:webHidden/>
              </w:rPr>
              <w:instrText xml:space="preserve"> PAGEREF _Toc222755612 \h </w:instrText>
            </w:r>
            <w:r>
              <w:rPr>
                <w:noProof/>
                <w:webHidden/>
              </w:rPr>
            </w:r>
            <w:r>
              <w:rPr>
                <w:noProof/>
                <w:webHidden/>
              </w:rPr>
              <w:fldChar w:fldCharType="separate"/>
            </w:r>
            <w:r>
              <w:rPr>
                <w:noProof/>
                <w:webHidden/>
              </w:rPr>
              <w:t>10</w:t>
            </w:r>
            <w:r>
              <w:rPr>
                <w:noProof/>
                <w:webHidden/>
              </w:rPr>
              <w:fldChar w:fldCharType="end"/>
            </w:r>
          </w:hyperlink>
        </w:p>
        <w:p w14:paraId="0C2D1ED5" w14:textId="670055A6"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13" w:history="1">
            <w:r w:rsidRPr="00C726BF">
              <w:rPr>
                <w:rStyle w:val="Hyperlink"/>
                <w:noProof/>
              </w:rPr>
              <w:t>5.2. Understanding the auditor’s role</w:t>
            </w:r>
            <w:r>
              <w:rPr>
                <w:noProof/>
                <w:webHidden/>
              </w:rPr>
              <w:tab/>
            </w:r>
            <w:r>
              <w:rPr>
                <w:noProof/>
                <w:webHidden/>
              </w:rPr>
              <w:fldChar w:fldCharType="begin"/>
            </w:r>
            <w:r>
              <w:rPr>
                <w:noProof/>
                <w:webHidden/>
              </w:rPr>
              <w:instrText xml:space="preserve"> PAGEREF _Toc222755613 \h </w:instrText>
            </w:r>
            <w:r>
              <w:rPr>
                <w:noProof/>
                <w:webHidden/>
              </w:rPr>
            </w:r>
            <w:r>
              <w:rPr>
                <w:noProof/>
                <w:webHidden/>
              </w:rPr>
              <w:fldChar w:fldCharType="separate"/>
            </w:r>
            <w:r>
              <w:rPr>
                <w:noProof/>
                <w:webHidden/>
              </w:rPr>
              <w:t>11</w:t>
            </w:r>
            <w:r>
              <w:rPr>
                <w:noProof/>
                <w:webHidden/>
              </w:rPr>
              <w:fldChar w:fldCharType="end"/>
            </w:r>
          </w:hyperlink>
        </w:p>
        <w:p w14:paraId="3A047C2A" w14:textId="1E54BEDA"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14" w:history="1">
            <w:r w:rsidRPr="00C726BF">
              <w:rPr>
                <w:rStyle w:val="Hyperlink"/>
                <w:noProof/>
              </w:rPr>
              <w:t>5.3. Actions that may be taken by the CFO to support the audit</w:t>
            </w:r>
            <w:r>
              <w:rPr>
                <w:noProof/>
                <w:webHidden/>
              </w:rPr>
              <w:tab/>
            </w:r>
            <w:r>
              <w:rPr>
                <w:noProof/>
                <w:webHidden/>
              </w:rPr>
              <w:fldChar w:fldCharType="begin"/>
            </w:r>
            <w:r>
              <w:rPr>
                <w:noProof/>
                <w:webHidden/>
              </w:rPr>
              <w:instrText xml:space="preserve"> PAGEREF _Toc222755614 \h </w:instrText>
            </w:r>
            <w:r>
              <w:rPr>
                <w:noProof/>
                <w:webHidden/>
              </w:rPr>
            </w:r>
            <w:r>
              <w:rPr>
                <w:noProof/>
                <w:webHidden/>
              </w:rPr>
              <w:fldChar w:fldCharType="separate"/>
            </w:r>
            <w:r>
              <w:rPr>
                <w:noProof/>
                <w:webHidden/>
              </w:rPr>
              <w:t>11</w:t>
            </w:r>
            <w:r>
              <w:rPr>
                <w:noProof/>
                <w:webHidden/>
              </w:rPr>
              <w:fldChar w:fldCharType="end"/>
            </w:r>
          </w:hyperlink>
        </w:p>
        <w:p w14:paraId="591C263B" w14:textId="5BA3D24A"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15" w:history="1">
            <w:r w:rsidRPr="00C726BF">
              <w:rPr>
                <w:rStyle w:val="Hyperlink"/>
                <w:noProof/>
              </w:rPr>
              <w:t>5.3.1. Pre-audit preparation</w:t>
            </w:r>
            <w:r>
              <w:rPr>
                <w:noProof/>
                <w:webHidden/>
              </w:rPr>
              <w:tab/>
            </w:r>
            <w:r>
              <w:rPr>
                <w:noProof/>
                <w:webHidden/>
              </w:rPr>
              <w:fldChar w:fldCharType="begin"/>
            </w:r>
            <w:r>
              <w:rPr>
                <w:noProof/>
                <w:webHidden/>
              </w:rPr>
              <w:instrText xml:space="preserve"> PAGEREF _Toc222755615 \h </w:instrText>
            </w:r>
            <w:r>
              <w:rPr>
                <w:noProof/>
                <w:webHidden/>
              </w:rPr>
            </w:r>
            <w:r>
              <w:rPr>
                <w:noProof/>
                <w:webHidden/>
              </w:rPr>
              <w:fldChar w:fldCharType="separate"/>
            </w:r>
            <w:r>
              <w:rPr>
                <w:noProof/>
                <w:webHidden/>
              </w:rPr>
              <w:t>11</w:t>
            </w:r>
            <w:r>
              <w:rPr>
                <w:noProof/>
                <w:webHidden/>
              </w:rPr>
              <w:fldChar w:fldCharType="end"/>
            </w:r>
          </w:hyperlink>
        </w:p>
        <w:p w14:paraId="27F39082" w14:textId="170A3B84"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16" w:history="1">
            <w:r w:rsidRPr="00C726BF">
              <w:rPr>
                <w:rStyle w:val="Hyperlink"/>
                <w:noProof/>
              </w:rPr>
              <w:t>5.3.2. Entry (or planning) meeting</w:t>
            </w:r>
            <w:r>
              <w:rPr>
                <w:noProof/>
                <w:webHidden/>
              </w:rPr>
              <w:tab/>
            </w:r>
            <w:r>
              <w:rPr>
                <w:noProof/>
                <w:webHidden/>
              </w:rPr>
              <w:fldChar w:fldCharType="begin"/>
            </w:r>
            <w:r>
              <w:rPr>
                <w:noProof/>
                <w:webHidden/>
              </w:rPr>
              <w:instrText xml:space="preserve"> PAGEREF _Toc222755616 \h </w:instrText>
            </w:r>
            <w:r>
              <w:rPr>
                <w:noProof/>
                <w:webHidden/>
              </w:rPr>
            </w:r>
            <w:r>
              <w:rPr>
                <w:noProof/>
                <w:webHidden/>
              </w:rPr>
              <w:fldChar w:fldCharType="separate"/>
            </w:r>
            <w:r>
              <w:rPr>
                <w:noProof/>
                <w:webHidden/>
              </w:rPr>
              <w:t>11</w:t>
            </w:r>
            <w:r>
              <w:rPr>
                <w:noProof/>
                <w:webHidden/>
              </w:rPr>
              <w:fldChar w:fldCharType="end"/>
            </w:r>
          </w:hyperlink>
        </w:p>
        <w:p w14:paraId="45FB945B" w14:textId="7355BD86"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17" w:history="1">
            <w:r w:rsidRPr="00C726BF">
              <w:rPr>
                <w:rStyle w:val="Hyperlink"/>
                <w:noProof/>
              </w:rPr>
              <w:t>5.3.3. Provide high quality, audit ready documentation</w:t>
            </w:r>
            <w:r>
              <w:rPr>
                <w:noProof/>
                <w:webHidden/>
              </w:rPr>
              <w:tab/>
            </w:r>
            <w:r>
              <w:rPr>
                <w:noProof/>
                <w:webHidden/>
              </w:rPr>
              <w:fldChar w:fldCharType="begin"/>
            </w:r>
            <w:r>
              <w:rPr>
                <w:noProof/>
                <w:webHidden/>
              </w:rPr>
              <w:instrText xml:space="preserve"> PAGEREF _Toc222755617 \h </w:instrText>
            </w:r>
            <w:r>
              <w:rPr>
                <w:noProof/>
                <w:webHidden/>
              </w:rPr>
            </w:r>
            <w:r>
              <w:rPr>
                <w:noProof/>
                <w:webHidden/>
              </w:rPr>
              <w:fldChar w:fldCharType="separate"/>
            </w:r>
            <w:r>
              <w:rPr>
                <w:noProof/>
                <w:webHidden/>
              </w:rPr>
              <w:t>12</w:t>
            </w:r>
            <w:r>
              <w:rPr>
                <w:noProof/>
                <w:webHidden/>
              </w:rPr>
              <w:fldChar w:fldCharType="end"/>
            </w:r>
          </w:hyperlink>
        </w:p>
        <w:p w14:paraId="5F774BB0" w14:textId="3CC05BF4"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18" w:history="1">
            <w:r w:rsidRPr="00C726BF">
              <w:rPr>
                <w:rStyle w:val="Hyperlink"/>
                <w:noProof/>
              </w:rPr>
              <w:t>5.3.4. Seeking auditor feedback on proposed positions</w:t>
            </w:r>
            <w:r>
              <w:rPr>
                <w:noProof/>
                <w:webHidden/>
              </w:rPr>
              <w:tab/>
            </w:r>
            <w:r>
              <w:rPr>
                <w:noProof/>
                <w:webHidden/>
              </w:rPr>
              <w:fldChar w:fldCharType="begin"/>
            </w:r>
            <w:r>
              <w:rPr>
                <w:noProof/>
                <w:webHidden/>
              </w:rPr>
              <w:instrText xml:space="preserve"> PAGEREF _Toc222755618 \h </w:instrText>
            </w:r>
            <w:r>
              <w:rPr>
                <w:noProof/>
                <w:webHidden/>
              </w:rPr>
            </w:r>
            <w:r>
              <w:rPr>
                <w:noProof/>
                <w:webHidden/>
              </w:rPr>
              <w:fldChar w:fldCharType="separate"/>
            </w:r>
            <w:r>
              <w:rPr>
                <w:noProof/>
                <w:webHidden/>
              </w:rPr>
              <w:t>12</w:t>
            </w:r>
            <w:r>
              <w:rPr>
                <w:noProof/>
                <w:webHidden/>
              </w:rPr>
              <w:fldChar w:fldCharType="end"/>
            </w:r>
          </w:hyperlink>
        </w:p>
        <w:p w14:paraId="7E9F769A" w14:textId="6B926609"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19" w:history="1">
            <w:r w:rsidRPr="00C726BF">
              <w:rPr>
                <w:rStyle w:val="Hyperlink"/>
                <w:noProof/>
              </w:rPr>
              <w:t>5.3.5. Ensure clear and timely information flow</w:t>
            </w:r>
            <w:r>
              <w:rPr>
                <w:noProof/>
                <w:webHidden/>
              </w:rPr>
              <w:tab/>
            </w:r>
            <w:r>
              <w:rPr>
                <w:noProof/>
                <w:webHidden/>
              </w:rPr>
              <w:fldChar w:fldCharType="begin"/>
            </w:r>
            <w:r>
              <w:rPr>
                <w:noProof/>
                <w:webHidden/>
              </w:rPr>
              <w:instrText xml:space="preserve"> PAGEREF _Toc222755619 \h </w:instrText>
            </w:r>
            <w:r>
              <w:rPr>
                <w:noProof/>
                <w:webHidden/>
              </w:rPr>
            </w:r>
            <w:r>
              <w:rPr>
                <w:noProof/>
                <w:webHidden/>
              </w:rPr>
              <w:fldChar w:fldCharType="separate"/>
            </w:r>
            <w:r>
              <w:rPr>
                <w:noProof/>
                <w:webHidden/>
              </w:rPr>
              <w:t>13</w:t>
            </w:r>
            <w:r>
              <w:rPr>
                <w:noProof/>
                <w:webHidden/>
              </w:rPr>
              <w:fldChar w:fldCharType="end"/>
            </w:r>
          </w:hyperlink>
        </w:p>
        <w:p w14:paraId="4695DFB7" w14:textId="34E848D9" w:rsidR="00C14069" w:rsidRDefault="00C14069">
          <w:pPr>
            <w:pStyle w:val="TOC3"/>
            <w:tabs>
              <w:tab w:val="right" w:leader="dot" w:pos="10308"/>
            </w:tabs>
            <w:rPr>
              <w:rFonts w:asciiTheme="minorHAnsi" w:eastAsiaTheme="minorEastAsia" w:hAnsiTheme="minorHAnsi" w:cstheme="minorBidi"/>
              <w:noProof/>
              <w:kern w:val="2"/>
              <w:sz w:val="24"/>
              <w:szCs w:val="24"/>
              <w:lang w:eastAsia="en-AU"/>
              <w14:ligatures w14:val="standardContextual"/>
            </w:rPr>
          </w:pPr>
          <w:hyperlink w:anchor="_Toc222755620" w:history="1">
            <w:r w:rsidRPr="00C726BF">
              <w:rPr>
                <w:rStyle w:val="Hyperlink"/>
                <w:noProof/>
              </w:rPr>
              <w:t>5.3.6. Review audit findings and implement improvements</w:t>
            </w:r>
            <w:r>
              <w:rPr>
                <w:noProof/>
                <w:webHidden/>
              </w:rPr>
              <w:tab/>
            </w:r>
            <w:r>
              <w:rPr>
                <w:noProof/>
                <w:webHidden/>
              </w:rPr>
              <w:fldChar w:fldCharType="begin"/>
            </w:r>
            <w:r>
              <w:rPr>
                <w:noProof/>
                <w:webHidden/>
              </w:rPr>
              <w:instrText xml:space="preserve"> PAGEREF _Toc222755620 \h </w:instrText>
            </w:r>
            <w:r>
              <w:rPr>
                <w:noProof/>
                <w:webHidden/>
              </w:rPr>
            </w:r>
            <w:r>
              <w:rPr>
                <w:noProof/>
                <w:webHidden/>
              </w:rPr>
              <w:fldChar w:fldCharType="separate"/>
            </w:r>
            <w:r>
              <w:rPr>
                <w:noProof/>
                <w:webHidden/>
              </w:rPr>
              <w:t>14</w:t>
            </w:r>
            <w:r>
              <w:rPr>
                <w:noProof/>
                <w:webHidden/>
              </w:rPr>
              <w:fldChar w:fldCharType="end"/>
            </w:r>
          </w:hyperlink>
        </w:p>
        <w:p w14:paraId="7EB44D5D" w14:textId="731908F1" w:rsidR="00C14069" w:rsidRDefault="00C14069">
          <w:pPr>
            <w:pStyle w:val="TOC2"/>
            <w:rPr>
              <w:rFonts w:asciiTheme="minorHAnsi" w:eastAsiaTheme="minorEastAsia" w:hAnsiTheme="minorHAnsi" w:cstheme="minorBidi"/>
              <w:noProof/>
              <w:kern w:val="2"/>
              <w:sz w:val="24"/>
              <w:szCs w:val="24"/>
              <w:lang w:eastAsia="en-AU"/>
              <w14:ligatures w14:val="standardContextual"/>
            </w:rPr>
          </w:pPr>
          <w:hyperlink w:anchor="_Toc222755621" w:history="1">
            <w:r w:rsidRPr="00C726BF">
              <w:rPr>
                <w:rStyle w:val="Hyperlink"/>
                <w:noProof/>
              </w:rPr>
              <w:t>5.4. The role of the audit committee in the external audit</w:t>
            </w:r>
            <w:r>
              <w:rPr>
                <w:noProof/>
                <w:webHidden/>
              </w:rPr>
              <w:tab/>
            </w:r>
            <w:r>
              <w:rPr>
                <w:noProof/>
                <w:webHidden/>
              </w:rPr>
              <w:fldChar w:fldCharType="begin"/>
            </w:r>
            <w:r>
              <w:rPr>
                <w:noProof/>
                <w:webHidden/>
              </w:rPr>
              <w:instrText xml:space="preserve"> PAGEREF _Toc222755621 \h </w:instrText>
            </w:r>
            <w:r>
              <w:rPr>
                <w:noProof/>
                <w:webHidden/>
              </w:rPr>
            </w:r>
            <w:r>
              <w:rPr>
                <w:noProof/>
                <w:webHidden/>
              </w:rPr>
              <w:fldChar w:fldCharType="separate"/>
            </w:r>
            <w:r>
              <w:rPr>
                <w:noProof/>
                <w:webHidden/>
              </w:rPr>
              <w:t>14</w:t>
            </w:r>
            <w:r>
              <w:rPr>
                <w:noProof/>
                <w:webHidden/>
              </w:rPr>
              <w:fldChar w:fldCharType="end"/>
            </w:r>
          </w:hyperlink>
        </w:p>
        <w:p w14:paraId="5984EF45" w14:textId="6608D97A" w:rsidR="004E7885" w:rsidRPr="00804ECA" w:rsidRDefault="006747E0" w:rsidP="004E7885">
          <w:pPr>
            <w:rPr>
              <w:rFonts w:eastAsiaTheme="minorEastAsia" w:cs="Arial"/>
              <w:b/>
              <w:lang w:eastAsia="en-AU"/>
            </w:rPr>
          </w:pPr>
          <w:r w:rsidRPr="00804ECA">
            <w:rPr>
              <w:rFonts w:eastAsiaTheme="minorEastAsia" w:cs="Arial"/>
              <w:lang w:eastAsia="en-AU"/>
            </w:rPr>
            <w:fldChar w:fldCharType="end"/>
          </w:r>
        </w:p>
      </w:sdtContent>
    </w:sdt>
    <w:p w14:paraId="5BDC05B4" w14:textId="77777777" w:rsidR="00964B22" w:rsidRPr="00804ECA" w:rsidRDefault="00964B22" w:rsidP="004E7885">
      <w:pPr>
        <w:sectPr w:rsidR="00964B22" w:rsidRPr="00804ECA" w:rsidSect="004E7885">
          <w:headerReference w:type="default" r:id="rId13"/>
          <w:footerReference w:type="default" r:id="rId14"/>
          <w:headerReference w:type="first" r:id="rId15"/>
          <w:footerReference w:type="first" r:id="rId16"/>
          <w:pgSz w:w="11906" w:h="16838" w:code="9"/>
          <w:pgMar w:top="794" w:right="794" w:bottom="794" w:left="794" w:header="794" w:footer="794" w:gutter="0"/>
          <w:cols w:space="708"/>
          <w:titlePg/>
          <w:docGrid w:linePitch="360"/>
        </w:sectPr>
      </w:pPr>
    </w:p>
    <w:p w14:paraId="67B22147" w14:textId="0AD54A99" w:rsidR="00252715" w:rsidRDefault="00252715" w:rsidP="00DF73AC">
      <w:pPr>
        <w:pStyle w:val="Heading1"/>
        <w:rPr>
          <w:noProof/>
          <w:lang w:eastAsia="en-AU"/>
        </w:rPr>
      </w:pPr>
      <w:bookmarkStart w:id="0" w:name="_Toc222755588"/>
      <w:r>
        <w:rPr>
          <w:noProof/>
          <w:lang w:eastAsia="en-AU"/>
        </w:rPr>
        <w:lastRenderedPageBreak/>
        <w:t>Purpose</w:t>
      </w:r>
      <w:bookmarkEnd w:id="0"/>
    </w:p>
    <w:p w14:paraId="034162F6" w14:textId="236D3E47" w:rsidR="00252715" w:rsidRDefault="00252715" w:rsidP="00252715">
      <w:pPr>
        <w:pStyle w:val="BodyText"/>
        <w:rPr>
          <w:lang w:eastAsia="en-AU"/>
        </w:rPr>
      </w:pPr>
      <w:r>
        <w:rPr>
          <w:lang w:eastAsia="en-AU"/>
        </w:rPr>
        <w:t>To provide best practice guidance to assist accountable officers and agencies with satisfying legislative requirements under the</w:t>
      </w:r>
      <w:r w:rsidRPr="00804ECA">
        <w:rPr>
          <w:i/>
          <w:iCs/>
          <w:lang w:eastAsia="en-AU"/>
        </w:rPr>
        <w:t xml:space="preserve"> Financial Management Act 1995 </w:t>
      </w:r>
      <w:r w:rsidR="00946C1F">
        <w:rPr>
          <w:lang w:eastAsia="en-AU"/>
        </w:rPr>
        <w:t xml:space="preserve">(FMA) </w:t>
      </w:r>
      <w:r>
        <w:rPr>
          <w:lang w:eastAsia="en-AU"/>
        </w:rPr>
        <w:t>for the presentation of accurate and compliant agency financial statements. Th</w:t>
      </w:r>
      <w:r w:rsidR="00152CA1">
        <w:rPr>
          <w:lang w:eastAsia="en-AU"/>
        </w:rPr>
        <w:t xml:space="preserve">is document provides steps and processes for </w:t>
      </w:r>
      <w:r w:rsidRPr="0090784C">
        <w:rPr>
          <w:lang w:eastAsia="en-AU"/>
        </w:rPr>
        <w:t>best</w:t>
      </w:r>
      <w:r w:rsidRPr="0090784C">
        <w:rPr>
          <w:lang w:eastAsia="en-AU"/>
        </w:rPr>
        <w:noBreakHyphen/>
        <w:t xml:space="preserve">practice governance, financial control, </w:t>
      </w:r>
      <w:r w:rsidR="008E324C">
        <w:rPr>
          <w:lang w:eastAsia="en-AU"/>
        </w:rPr>
        <w:t xml:space="preserve">financial reporting </w:t>
      </w:r>
      <w:r w:rsidRPr="0090784C">
        <w:rPr>
          <w:lang w:eastAsia="en-AU"/>
        </w:rPr>
        <w:t>and audit readiness.</w:t>
      </w:r>
      <w:r w:rsidR="00FF3727">
        <w:rPr>
          <w:lang w:eastAsia="en-AU"/>
        </w:rPr>
        <w:t xml:space="preserve"> </w:t>
      </w:r>
      <w:r w:rsidR="008E324C">
        <w:rPr>
          <w:lang w:eastAsia="en-AU"/>
        </w:rPr>
        <w:t>While this document provides best practice guidance, a</w:t>
      </w:r>
      <w:r w:rsidR="00FF3727">
        <w:rPr>
          <w:lang w:eastAsia="en-AU"/>
        </w:rPr>
        <w:t>gencies</w:t>
      </w:r>
      <w:r w:rsidR="009A209B">
        <w:rPr>
          <w:lang w:eastAsia="en-AU"/>
        </w:rPr>
        <w:t xml:space="preserve"> can and</w:t>
      </w:r>
      <w:r w:rsidR="00FF3727">
        <w:rPr>
          <w:lang w:eastAsia="en-AU"/>
        </w:rPr>
        <w:t xml:space="preserve"> should tailor activities and templates to suit their operational requirements</w:t>
      </w:r>
      <w:r w:rsidR="009A209B">
        <w:rPr>
          <w:lang w:eastAsia="en-AU"/>
        </w:rPr>
        <w:t xml:space="preserve"> and processes</w:t>
      </w:r>
      <w:r w:rsidR="00FF3727">
        <w:rPr>
          <w:lang w:eastAsia="en-AU"/>
        </w:rPr>
        <w:t>.</w:t>
      </w:r>
      <w:r w:rsidR="00A61B43">
        <w:rPr>
          <w:lang w:eastAsia="en-AU"/>
        </w:rPr>
        <w:t xml:space="preserve"> </w:t>
      </w:r>
      <w:r w:rsidR="00112D2A">
        <w:rPr>
          <w:lang w:eastAsia="en-AU"/>
        </w:rPr>
        <w:t>The appendices attached to this guidance are proforma templates for reconciliation, work plans and audit queries tracker.  Agencies can further tailor these templates to best suit their requirements and processes.</w:t>
      </w:r>
    </w:p>
    <w:p w14:paraId="0D48EAF4" w14:textId="58C32334" w:rsidR="00112D2A" w:rsidRPr="0090784C" w:rsidRDefault="00112D2A" w:rsidP="00252715">
      <w:pPr>
        <w:pStyle w:val="BodyText"/>
        <w:rPr>
          <w:lang w:eastAsia="en-AU"/>
        </w:rPr>
      </w:pPr>
      <w:r>
        <w:rPr>
          <w:lang w:eastAsia="en-AU"/>
        </w:rPr>
        <w:t>Note: GAS and BOXI are interchangeably used throughout the guidance</w:t>
      </w:r>
      <w:r w:rsidR="00F44928">
        <w:rPr>
          <w:lang w:eastAsia="en-AU"/>
        </w:rPr>
        <w:t>, noting that BOXI represents the reporting capability of GAS. BOXI retrieves all the data from GAS and presents this data in a reportable and useable format, which then assist in the reconciliation and financial reporting process.</w:t>
      </w:r>
    </w:p>
    <w:p w14:paraId="22D3A9DA" w14:textId="2757A06C" w:rsidR="00DF73AC" w:rsidRDefault="0090784C" w:rsidP="00DF73AC">
      <w:pPr>
        <w:pStyle w:val="Heading1"/>
        <w:rPr>
          <w:noProof/>
          <w:lang w:eastAsia="en-AU"/>
        </w:rPr>
      </w:pPr>
      <w:bookmarkStart w:id="1" w:name="_Toc222755589"/>
      <w:r w:rsidRPr="00804ECA">
        <w:rPr>
          <w:noProof/>
          <w:lang w:eastAsia="en-AU"/>
        </w:rPr>
        <w:t xml:space="preserve">End of financial year </w:t>
      </w:r>
      <w:r w:rsidR="00804ECA" w:rsidRPr="00804ECA">
        <w:rPr>
          <w:noProof/>
          <w:lang w:eastAsia="en-AU"/>
        </w:rPr>
        <w:t>processes</w:t>
      </w:r>
      <w:bookmarkEnd w:id="1"/>
    </w:p>
    <w:p w14:paraId="123DFE4F" w14:textId="0A2E8C32" w:rsidR="00152CA1" w:rsidRPr="00152CA1" w:rsidRDefault="00152CA1" w:rsidP="00152CA1">
      <w:pPr>
        <w:rPr>
          <w:lang w:eastAsia="en-AU"/>
        </w:rPr>
      </w:pPr>
      <w:r>
        <w:rPr>
          <w:lang w:eastAsia="en-AU"/>
        </w:rPr>
        <w:t>Identifying and planning for end of year activities ensures an agency can meet i</w:t>
      </w:r>
      <w:r w:rsidR="008E324C">
        <w:rPr>
          <w:lang w:eastAsia="en-AU"/>
        </w:rPr>
        <w:t>t</w:t>
      </w:r>
      <w:r>
        <w:rPr>
          <w:lang w:eastAsia="en-AU"/>
        </w:rPr>
        <w:t>s statutory reporting obligations accurately and within designated timeframes.</w:t>
      </w:r>
    </w:p>
    <w:p w14:paraId="5E89B583" w14:textId="5DF78323" w:rsidR="00EF432F" w:rsidRDefault="00EF432F" w:rsidP="003E1235">
      <w:pPr>
        <w:pStyle w:val="Heading2"/>
        <w:jc w:val="both"/>
        <w:rPr>
          <w:lang w:eastAsia="en-AU"/>
        </w:rPr>
      </w:pPr>
      <w:bookmarkStart w:id="2" w:name="_Toc222755590"/>
      <w:r>
        <w:rPr>
          <w:lang w:eastAsia="en-AU"/>
        </w:rPr>
        <w:t>Throughout the year - Pre-end of year activities</w:t>
      </w:r>
      <w:bookmarkEnd w:id="2"/>
    </w:p>
    <w:p w14:paraId="5AB640C9" w14:textId="06F28B1F" w:rsidR="00621507" w:rsidRDefault="00621507" w:rsidP="00621507">
      <w:pPr>
        <w:pStyle w:val="ListParagraph"/>
        <w:numPr>
          <w:ilvl w:val="0"/>
          <w:numId w:val="36"/>
        </w:numPr>
        <w:rPr>
          <w:lang w:eastAsia="en-AU"/>
        </w:rPr>
      </w:pPr>
      <w:r>
        <w:rPr>
          <w:lang w:eastAsia="en-AU"/>
        </w:rPr>
        <w:t xml:space="preserve">Complete </w:t>
      </w:r>
      <w:r w:rsidR="00706D8D">
        <w:rPr>
          <w:lang w:eastAsia="en-AU"/>
        </w:rPr>
        <w:t xml:space="preserve">periodic </w:t>
      </w:r>
      <w:r>
        <w:rPr>
          <w:lang w:eastAsia="en-AU"/>
        </w:rPr>
        <w:t>reconciliations and analysis of financial statement line items monthly or at a minimum quarterly</w:t>
      </w:r>
      <w:r w:rsidR="00B00AA6">
        <w:rPr>
          <w:lang w:eastAsia="en-AU"/>
        </w:rPr>
        <w:t>; resolve discrepancies in a timely manner</w:t>
      </w:r>
    </w:p>
    <w:p w14:paraId="15BB9120" w14:textId="45404318" w:rsidR="00621507" w:rsidRDefault="00F44928" w:rsidP="00621507">
      <w:pPr>
        <w:pStyle w:val="ListParagraph"/>
        <w:numPr>
          <w:ilvl w:val="0"/>
          <w:numId w:val="36"/>
        </w:numPr>
        <w:rPr>
          <w:lang w:eastAsia="en-AU"/>
        </w:rPr>
      </w:pPr>
      <w:r>
        <w:rPr>
          <w:lang w:eastAsia="en-AU"/>
        </w:rPr>
        <w:t xml:space="preserve">Finalise the </w:t>
      </w:r>
      <w:r w:rsidR="00DC0244">
        <w:rPr>
          <w:lang w:eastAsia="en-AU"/>
        </w:rPr>
        <w:t xml:space="preserve">engagement and appointment of valuers for </w:t>
      </w:r>
      <w:r w:rsidR="000963B7">
        <w:rPr>
          <w:lang w:eastAsia="en-AU"/>
        </w:rPr>
        <w:t>non-financial</w:t>
      </w:r>
      <w:r w:rsidR="00DC0244">
        <w:rPr>
          <w:lang w:eastAsia="en-AU"/>
        </w:rPr>
        <w:t xml:space="preserve"> assets (refer to T</w:t>
      </w:r>
      <w:r w:rsidR="004176D1">
        <w:rPr>
          <w:lang w:eastAsia="en-AU"/>
        </w:rPr>
        <w:t xml:space="preserve">reasurer’s </w:t>
      </w:r>
      <w:r w:rsidR="00DC0244">
        <w:rPr>
          <w:lang w:eastAsia="en-AU"/>
        </w:rPr>
        <w:t>D</w:t>
      </w:r>
      <w:r w:rsidR="004176D1">
        <w:rPr>
          <w:lang w:eastAsia="en-AU"/>
        </w:rPr>
        <w:t>irection</w:t>
      </w:r>
      <w:r w:rsidR="00DC0244">
        <w:rPr>
          <w:lang w:eastAsia="en-AU"/>
        </w:rPr>
        <w:t xml:space="preserve"> A2.1 Guidance documents Revaluations sections 6 and 7)</w:t>
      </w:r>
    </w:p>
    <w:p w14:paraId="50737580" w14:textId="781704B7" w:rsidR="00DC0244" w:rsidRDefault="00F44928" w:rsidP="00621507">
      <w:pPr>
        <w:pStyle w:val="ListParagraph"/>
        <w:numPr>
          <w:ilvl w:val="0"/>
          <w:numId w:val="36"/>
        </w:numPr>
        <w:rPr>
          <w:lang w:eastAsia="en-AU"/>
        </w:rPr>
      </w:pPr>
      <w:r>
        <w:rPr>
          <w:lang w:eastAsia="en-AU"/>
        </w:rPr>
        <w:t xml:space="preserve">The valuation of </w:t>
      </w:r>
      <w:r w:rsidR="000963B7">
        <w:rPr>
          <w:lang w:eastAsia="en-AU"/>
        </w:rPr>
        <w:t>non-financial</w:t>
      </w:r>
      <w:r>
        <w:rPr>
          <w:lang w:eastAsia="en-AU"/>
        </w:rPr>
        <w:t xml:space="preserve"> assets </w:t>
      </w:r>
      <w:r w:rsidR="000963B7">
        <w:rPr>
          <w:lang w:eastAsia="en-AU"/>
        </w:rPr>
        <w:t>should be</w:t>
      </w:r>
      <w:r>
        <w:rPr>
          <w:lang w:eastAsia="en-AU"/>
        </w:rPr>
        <w:t xml:space="preserve"> scheduled and completed prior to 30 June</w:t>
      </w:r>
    </w:p>
    <w:p w14:paraId="5BAD0F02" w14:textId="21CFD4F8" w:rsidR="005C242B" w:rsidRPr="00A61B43" w:rsidRDefault="005C242B" w:rsidP="00621507">
      <w:pPr>
        <w:pStyle w:val="ListParagraph"/>
        <w:numPr>
          <w:ilvl w:val="0"/>
          <w:numId w:val="36"/>
        </w:numPr>
        <w:rPr>
          <w:lang w:eastAsia="en-AU"/>
        </w:rPr>
      </w:pPr>
      <w:r>
        <w:rPr>
          <w:rFonts w:cs="Arial"/>
          <w:snapToGrid w:val="0"/>
        </w:rPr>
        <w:t xml:space="preserve">Liaise with DCDD Fixed </w:t>
      </w:r>
      <w:r w:rsidR="00155336">
        <w:rPr>
          <w:rFonts w:cs="Arial"/>
          <w:snapToGrid w:val="0"/>
        </w:rPr>
        <w:t>A</w:t>
      </w:r>
      <w:r>
        <w:rPr>
          <w:rFonts w:cs="Arial"/>
          <w:snapToGrid w:val="0"/>
        </w:rPr>
        <w:t>ssets to adjust for asset revaluations prior to 30 June</w:t>
      </w:r>
    </w:p>
    <w:p w14:paraId="662C7BD2" w14:textId="13D7C82A" w:rsidR="00F44928" w:rsidRDefault="00F44928" w:rsidP="004176D1">
      <w:pPr>
        <w:pStyle w:val="ListParagraph"/>
        <w:numPr>
          <w:ilvl w:val="0"/>
          <w:numId w:val="36"/>
        </w:numPr>
        <w:rPr>
          <w:lang w:eastAsia="en-AU"/>
        </w:rPr>
      </w:pPr>
      <w:r>
        <w:rPr>
          <w:lang w:eastAsia="en-AU"/>
        </w:rPr>
        <w:t xml:space="preserve">Ensure that the Revenue Recognition Assessment Checklist has been completed for all new grant agreements </w:t>
      </w:r>
      <w:r w:rsidR="004176D1">
        <w:rPr>
          <w:lang w:eastAsia="en-AU"/>
        </w:rPr>
        <w:t>and review assessments for any unearned revenue to be recognised as contract liability at end of financial year</w:t>
      </w:r>
      <w:r>
        <w:rPr>
          <w:lang w:eastAsia="en-AU"/>
        </w:rPr>
        <w:t xml:space="preserve"> (refer to Treasurers’ Direction on Income)</w:t>
      </w:r>
    </w:p>
    <w:p w14:paraId="4152DB00" w14:textId="3D29E41E" w:rsidR="00B00AA6" w:rsidRDefault="00B00AA6" w:rsidP="00621507">
      <w:pPr>
        <w:pStyle w:val="ListParagraph"/>
        <w:numPr>
          <w:ilvl w:val="0"/>
          <w:numId w:val="36"/>
        </w:numPr>
        <w:rPr>
          <w:lang w:eastAsia="en-AU"/>
        </w:rPr>
      </w:pPr>
      <w:r>
        <w:rPr>
          <w:lang w:eastAsia="en-AU"/>
        </w:rPr>
        <w:t>Ensure timely submission of any ministerial request for any end of year actions that require Treasurer’s approval under the FMA</w:t>
      </w:r>
    </w:p>
    <w:p w14:paraId="59C1EA48" w14:textId="39219F15" w:rsidR="00264493" w:rsidRPr="00621507" w:rsidRDefault="00B00AA6" w:rsidP="00264493">
      <w:pPr>
        <w:pStyle w:val="ListParagraph"/>
        <w:numPr>
          <w:ilvl w:val="0"/>
          <w:numId w:val="36"/>
        </w:numPr>
        <w:rPr>
          <w:lang w:eastAsia="en-AU"/>
        </w:rPr>
      </w:pPr>
      <w:r>
        <w:rPr>
          <w:lang w:eastAsia="en-AU"/>
        </w:rPr>
        <w:t xml:space="preserve">Ensure all finance staff are up to date with and have been provided guidance on best practice end of financial year processes prior to </w:t>
      </w:r>
      <w:r w:rsidR="00264493">
        <w:rPr>
          <w:lang w:eastAsia="en-AU"/>
        </w:rPr>
        <w:t>the implementation of your end of financial year work plan</w:t>
      </w:r>
    </w:p>
    <w:p w14:paraId="1DF7F817" w14:textId="6B159109" w:rsidR="004C2127" w:rsidRPr="00865871" w:rsidRDefault="004C2127" w:rsidP="00804ECA">
      <w:pPr>
        <w:pStyle w:val="Heading2"/>
        <w:rPr>
          <w:lang w:eastAsia="en-AU"/>
        </w:rPr>
      </w:pPr>
      <w:bookmarkStart w:id="3" w:name="_Toc222755591"/>
      <w:r w:rsidRPr="00865871">
        <w:rPr>
          <w:lang w:eastAsia="en-AU"/>
        </w:rPr>
        <w:t>End of year planning</w:t>
      </w:r>
      <w:bookmarkEnd w:id="3"/>
      <w:r w:rsidRPr="00865871">
        <w:rPr>
          <w:lang w:eastAsia="en-AU"/>
        </w:rPr>
        <w:t xml:space="preserve"> </w:t>
      </w:r>
    </w:p>
    <w:p w14:paraId="0E6DDCE8" w14:textId="5E69E55F" w:rsidR="004C2127" w:rsidRPr="00865871" w:rsidRDefault="004C2127" w:rsidP="004C2127">
      <w:pPr>
        <w:pStyle w:val="ListParagraph"/>
        <w:numPr>
          <w:ilvl w:val="0"/>
          <w:numId w:val="36"/>
        </w:numPr>
        <w:rPr>
          <w:i/>
          <w:iCs w:val="0"/>
          <w:lang w:eastAsia="en-AU"/>
        </w:rPr>
      </w:pPr>
      <w:r w:rsidRPr="00865871">
        <w:rPr>
          <w:lang w:eastAsia="en-AU"/>
        </w:rPr>
        <w:t xml:space="preserve">Prepare a </w:t>
      </w:r>
      <w:r w:rsidR="003C3CEC" w:rsidRPr="00865871">
        <w:rPr>
          <w:lang w:eastAsia="en-AU"/>
        </w:rPr>
        <w:t>work plan</w:t>
      </w:r>
      <w:r w:rsidRPr="00865871">
        <w:rPr>
          <w:lang w:eastAsia="en-AU"/>
        </w:rPr>
        <w:t xml:space="preserve"> </w:t>
      </w:r>
      <w:r w:rsidR="004E623D" w:rsidRPr="00865871">
        <w:rPr>
          <w:lang w:eastAsia="en-AU"/>
        </w:rPr>
        <w:t xml:space="preserve">to identify </w:t>
      </w:r>
      <w:r w:rsidRPr="00865871">
        <w:rPr>
          <w:lang w:eastAsia="en-AU"/>
        </w:rPr>
        <w:t>all end of year requirements</w:t>
      </w:r>
      <w:r w:rsidR="009C7E48" w:rsidRPr="00865871">
        <w:rPr>
          <w:lang w:eastAsia="en-AU"/>
        </w:rPr>
        <w:t xml:space="preserve"> and due dates, </w:t>
      </w:r>
      <w:r w:rsidRPr="00865871">
        <w:rPr>
          <w:lang w:eastAsia="en-AU"/>
        </w:rPr>
        <w:t>assign owners</w:t>
      </w:r>
      <w:r w:rsidR="003C3CEC" w:rsidRPr="00865871">
        <w:rPr>
          <w:lang w:eastAsia="en-AU"/>
        </w:rPr>
        <w:t xml:space="preserve"> to each task</w:t>
      </w:r>
      <w:r w:rsidRPr="00865871">
        <w:rPr>
          <w:lang w:eastAsia="en-AU"/>
        </w:rPr>
        <w:t>, and estimated completion dates.</w:t>
      </w:r>
      <w:r w:rsidR="00954AA7" w:rsidRPr="00865871">
        <w:rPr>
          <w:lang w:eastAsia="en-AU"/>
        </w:rPr>
        <w:t xml:space="preserve"> A </w:t>
      </w:r>
      <w:r w:rsidR="00B00AA6" w:rsidRPr="00865871">
        <w:rPr>
          <w:lang w:eastAsia="en-AU"/>
        </w:rPr>
        <w:t xml:space="preserve">sample </w:t>
      </w:r>
      <w:r w:rsidR="00954AA7" w:rsidRPr="00865871">
        <w:rPr>
          <w:lang w:eastAsia="en-AU"/>
        </w:rPr>
        <w:t xml:space="preserve">template planner is provided in </w:t>
      </w:r>
      <w:r w:rsidR="00954AA7" w:rsidRPr="00865871">
        <w:rPr>
          <w:i/>
          <w:iCs w:val="0"/>
          <w:lang w:eastAsia="en-AU"/>
        </w:rPr>
        <w:t xml:space="preserve">Appendix </w:t>
      </w:r>
      <w:r w:rsidR="00C177D3" w:rsidRPr="00865871">
        <w:rPr>
          <w:i/>
          <w:iCs w:val="0"/>
          <w:lang w:eastAsia="en-AU"/>
        </w:rPr>
        <w:t xml:space="preserve">A - </w:t>
      </w:r>
      <w:r w:rsidR="00954AA7" w:rsidRPr="00865871">
        <w:rPr>
          <w:i/>
          <w:iCs w:val="0"/>
          <w:lang w:eastAsia="en-AU"/>
        </w:rPr>
        <w:t xml:space="preserve">End of Financial Year </w:t>
      </w:r>
      <w:r w:rsidR="00AA3D25" w:rsidRPr="00865871">
        <w:rPr>
          <w:i/>
          <w:iCs w:val="0"/>
          <w:lang w:eastAsia="en-AU"/>
        </w:rPr>
        <w:t>Work Plan</w:t>
      </w:r>
      <w:r w:rsidR="00954AA7" w:rsidRPr="00865871">
        <w:rPr>
          <w:i/>
          <w:iCs w:val="0"/>
          <w:lang w:eastAsia="en-AU"/>
        </w:rPr>
        <w:t>.</w:t>
      </w:r>
      <w:r w:rsidR="000C209B" w:rsidRPr="00865871">
        <w:rPr>
          <w:i/>
          <w:iCs w:val="0"/>
          <w:lang w:eastAsia="en-AU"/>
        </w:rPr>
        <w:t xml:space="preserve"> </w:t>
      </w:r>
    </w:p>
    <w:p w14:paraId="207B11D4" w14:textId="1064484E" w:rsidR="00264493" w:rsidRPr="00865871" w:rsidRDefault="00264493" w:rsidP="004C2127">
      <w:pPr>
        <w:pStyle w:val="ListParagraph"/>
        <w:numPr>
          <w:ilvl w:val="0"/>
          <w:numId w:val="36"/>
        </w:numPr>
        <w:rPr>
          <w:i/>
          <w:iCs w:val="0"/>
          <w:lang w:eastAsia="en-AU"/>
        </w:rPr>
      </w:pPr>
      <w:r w:rsidRPr="00865871">
        <w:rPr>
          <w:lang w:eastAsia="en-AU"/>
        </w:rPr>
        <w:t xml:space="preserve">Liaise with </w:t>
      </w:r>
      <w:r w:rsidR="008C4166">
        <w:rPr>
          <w:lang w:eastAsia="en-AU"/>
        </w:rPr>
        <w:t>NT</w:t>
      </w:r>
      <w:r w:rsidRPr="00865871">
        <w:rPr>
          <w:lang w:eastAsia="en-AU"/>
        </w:rPr>
        <w:t>AG</w:t>
      </w:r>
      <w:r w:rsidR="00C5193C">
        <w:rPr>
          <w:lang w:eastAsia="en-AU"/>
        </w:rPr>
        <w:t>O</w:t>
      </w:r>
      <w:r w:rsidRPr="00865871">
        <w:rPr>
          <w:lang w:eastAsia="en-AU"/>
        </w:rPr>
        <w:t>, DTF, DCDD to determine audit dates, reporting dates, and other timeline changes</w:t>
      </w:r>
    </w:p>
    <w:p w14:paraId="0BCC183C" w14:textId="04018CD6" w:rsidR="00F6397E" w:rsidRPr="007949DF" w:rsidRDefault="00F6397E" w:rsidP="00F6397E">
      <w:pPr>
        <w:pStyle w:val="ListParagraph"/>
        <w:numPr>
          <w:ilvl w:val="0"/>
          <w:numId w:val="36"/>
        </w:numPr>
        <w:rPr>
          <w:lang w:eastAsia="en-AU"/>
        </w:rPr>
      </w:pPr>
      <w:r w:rsidRPr="00865871">
        <w:rPr>
          <w:lang w:eastAsia="en-AU"/>
        </w:rPr>
        <w:t>Assign owners for</w:t>
      </w:r>
      <w:r w:rsidRPr="007949DF">
        <w:rPr>
          <w:lang w:eastAsia="en-AU"/>
        </w:rPr>
        <w:t xml:space="preserve"> each financial</w:t>
      </w:r>
      <w:r>
        <w:rPr>
          <w:lang w:eastAsia="en-AU"/>
        </w:rPr>
        <w:t xml:space="preserve"> </w:t>
      </w:r>
      <w:r w:rsidRPr="007949DF">
        <w:rPr>
          <w:lang w:eastAsia="en-AU"/>
        </w:rPr>
        <w:t xml:space="preserve">statement </w:t>
      </w:r>
      <w:r w:rsidR="00B00AA6" w:rsidRPr="007949DF">
        <w:rPr>
          <w:lang w:eastAsia="en-AU"/>
        </w:rPr>
        <w:t>line-item</w:t>
      </w:r>
      <w:r w:rsidRPr="007949DF">
        <w:rPr>
          <w:lang w:eastAsia="en-AU"/>
        </w:rPr>
        <w:t xml:space="preserve"> </w:t>
      </w:r>
      <w:r w:rsidR="003C3CEC">
        <w:rPr>
          <w:lang w:eastAsia="en-AU"/>
        </w:rPr>
        <w:t xml:space="preserve">reconciliation </w:t>
      </w:r>
      <w:r w:rsidRPr="007949DF">
        <w:rPr>
          <w:lang w:eastAsia="en-AU"/>
        </w:rPr>
        <w:t xml:space="preserve">and supporting schedules </w:t>
      </w:r>
    </w:p>
    <w:p w14:paraId="2FCA79E8" w14:textId="77777777" w:rsidR="00F6397E" w:rsidRDefault="00F6397E" w:rsidP="00F6397E">
      <w:pPr>
        <w:pStyle w:val="ListParagraph"/>
        <w:numPr>
          <w:ilvl w:val="0"/>
          <w:numId w:val="36"/>
        </w:numPr>
        <w:rPr>
          <w:lang w:eastAsia="en-AU"/>
        </w:rPr>
      </w:pPr>
      <w:r w:rsidRPr="007949DF">
        <w:rPr>
          <w:lang w:eastAsia="en-AU"/>
        </w:rPr>
        <w:t>Make sure everyone understands what they need to provide, when, and how</w:t>
      </w:r>
    </w:p>
    <w:p w14:paraId="05B39765" w14:textId="0B212B51" w:rsidR="00F6397E" w:rsidRDefault="00F6397E" w:rsidP="00F6397E">
      <w:pPr>
        <w:pStyle w:val="ListParagraph"/>
        <w:numPr>
          <w:ilvl w:val="0"/>
          <w:numId w:val="36"/>
        </w:numPr>
        <w:rPr>
          <w:lang w:eastAsia="en-AU"/>
        </w:rPr>
      </w:pPr>
      <w:r w:rsidRPr="002928C4">
        <w:rPr>
          <w:rFonts w:eastAsia="Times New Roman"/>
          <w:lang w:eastAsia="en-AU"/>
        </w:rPr>
        <w:t>Review prior</w:t>
      </w:r>
      <w:r>
        <w:rPr>
          <w:lang w:eastAsia="en-AU"/>
        </w:rPr>
        <w:t xml:space="preserve"> </w:t>
      </w:r>
      <w:r w:rsidRPr="002928C4">
        <w:rPr>
          <w:rFonts w:eastAsia="Times New Roman"/>
          <w:lang w:eastAsia="en-AU"/>
        </w:rPr>
        <w:t xml:space="preserve">year audit findings and ensure remediation </w:t>
      </w:r>
      <w:r>
        <w:rPr>
          <w:lang w:eastAsia="en-AU"/>
        </w:rPr>
        <w:t xml:space="preserve">has been actioned and </w:t>
      </w:r>
      <w:r w:rsidRPr="002928C4">
        <w:rPr>
          <w:rFonts w:eastAsia="Times New Roman"/>
          <w:lang w:eastAsia="en-AU"/>
        </w:rPr>
        <w:t>evidence is available</w:t>
      </w:r>
      <w:r w:rsidR="00C5193C">
        <w:rPr>
          <w:lang w:eastAsia="en-AU"/>
        </w:rPr>
        <w:t>.  Auditors will want to review the action and evidence to confirm the audit finding has been closed.</w:t>
      </w:r>
    </w:p>
    <w:p w14:paraId="2253D689" w14:textId="77777777" w:rsidR="00EF432F" w:rsidRDefault="00F6397E" w:rsidP="00EF432F">
      <w:pPr>
        <w:numPr>
          <w:ilvl w:val="0"/>
          <w:numId w:val="21"/>
        </w:numPr>
        <w:rPr>
          <w:lang w:eastAsia="en-AU"/>
        </w:rPr>
      </w:pPr>
      <w:r w:rsidRPr="007949DF">
        <w:rPr>
          <w:lang w:eastAsia="en-AU"/>
        </w:rPr>
        <w:lastRenderedPageBreak/>
        <w:t>Review high</w:t>
      </w:r>
      <w:r w:rsidRPr="007949DF">
        <w:rPr>
          <w:lang w:eastAsia="en-AU"/>
        </w:rPr>
        <w:noBreakHyphen/>
        <w:t>risk areas, new transactions, or changes in accounting standards</w:t>
      </w:r>
      <w:r w:rsidR="003C3CEC">
        <w:rPr>
          <w:lang w:eastAsia="en-AU"/>
        </w:rPr>
        <w:t xml:space="preserve"> and financial statement proforma</w:t>
      </w:r>
      <w:r w:rsidR="00EF432F" w:rsidRPr="00EF432F">
        <w:rPr>
          <w:lang w:eastAsia="en-AU"/>
        </w:rPr>
        <w:t xml:space="preserve"> </w:t>
      </w:r>
    </w:p>
    <w:p w14:paraId="4DB904ED" w14:textId="3F99E410" w:rsidR="002D0679" w:rsidRDefault="002D0679" w:rsidP="00EF432F">
      <w:pPr>
        <w:numPr>
          <w:ilvl w:val="0"/>
          <w:numId w:val="21"/>
        </w:numPr>
        <w:rPr>
          <w:lang w:eastAsia="en-AU"/>
        </w:rPr>
      </w:pPr>
      <w:r>
        <w:rPr>
          <w:lang w:eastAsia="en-AU"/>
        </w:rPr>
        <w:t>Liaise with DCDD</w:t>
      </w:r>
      <w:r w:rsidR="008C4166">
        <w:rPr>
          <w:lang w:eastAsia="en-AU"/>
        </w:rPr>
        <w:t xml:space="preserve"> and</w:t>
      </w:r>
      <w:r>
        <w:rPr>
          <w:lang w:eastAsia="en-AU"/>
        </w:rPr>
        <w:t xml:space="preserve"> any other relevant agency that provides information to you for year end.  Agree timeframes for when that information will be received and ensure it fits within your </w:t>
      </w:r>
      <w:proofErr w:type="spellStart"/>
      <w:r>
        <w:rPr>
          <w:lang w:eastAsia="en-AU"/>
        </w:rPr>
        <w:t>year end</w:t>
      </w:r>
      <w:proofErr w:type="spellEnd"/>
      <w:r>
        <w:rPr>
          <w:lang w:eastAsia="en-AU"/>
        </w:rPr>
        <w:t xml:space="preserve"> timeline.</w:t>
      </w:r>
    </w:p>
    <w:p w14:paraId="093EDED1" w14:textId="4A849FCB" w:rsidR="00804ECA" w:rsidRDefault="00804ECA" w:rsidP="00804ECA">
      <w:pPr>
        <w:pStyle w:val="Heading2"/>
        <w:rPr>
          <w:lang w:eastAsia="en-AU"/>
        </w:rPr>
      </w:pPr>
      <w:bookmarkStart w:id="4" w:name="_Toc222755592"/>
      <w:r>
        <w:rPr>
          <w:lang w:eastAsia="en-AU"/>
        </w:rPr>
        <w:t xml:space="preserve">Perform </w:t>
      </w:r>
      <w:r w:rsidR="00264493">
        <w:rPr>
          <w:lang w:eastAsia="en-AU"/>
        </w:rPr>
        <w:t>end of financial year</w:t>
      </w:r>
      <w:r>
        <w:rPr>
          <w:lang w:eastAsia="en-AU"/>
        </w:rPr>
        <w:t xml:space="preserve"> adjustments</w:t>
      </w:r>
      <w:r w:rsidR="005C242B">
        <w:rPr>
          <w:lang w:eastAsia="en-AU"/>
        </w:rPr>
        <w:t xml:space="preserve"> (Period 14)</w:t>
      </w:r>
      <w:bookmarkEnd w:id="4"/>
    </w:p>
    <w:p w14:paraId="3419BB19" w14:textId="3DF15485" w:rsidR="00704A93" w:rsidRDefault="00704A93" w:rsidP="00804ECA">
      <w:pPr>
        <w:pStyle w:val="ListParagraph"/>
        <w:numPr>
          <w:ilvl w:val="0"/>
          <w:numId w:val="19"/>
        </w:numPr>
        <w:rPr>
          <w:lang w:eastAsia="en-AU"/>
        </w:rPr>
      </w:pPr>
      <w:r>
        <w:rPr>
          <w:lang w:eastAsia="en-AU"/>
        </w:rPr>
        <w:t>Confirm all journals have been posted, including</w:t>
      </w:r>
      <w:r w:rsidR="004176D1">
        <w:rPr>
          <w:lang w:eastAsia="en-AU"/>
        </w:rPr>
        <w:t xml:space="preserve"> but not limited to</w:t>
      </w:r>
      <w:r>
        <w:rPr>
          <w:lang w:eastAsia="en-AU"/>
        </w:rPr>
        <w:t>:</w:t>
      </w:r>
    </w:p>
    <w:p w14:paraId="19584AED" w14:textId="40E4CC6A" w:rsidR="00704A93" w:rsidRDefault="00704A93" w:rsidP="00704A93">
      <w:pPr>
        <w:pStyle w:val="ListParagraph"/>
        <w:numPr>
          <w:ilvl w:val="1"/>
          <w:numId w:val="19"/>
        </w:numPr>
        <w:rPr>
          <w:lang w:eastAsia="en-AU"/>
        </w:rPr>
      </w:pPr>
      <w:r>
        <w:rPr>
          <w:lang w:eastAsia="en-AU"/>
        </w:rPr>
        <w:t>Accruals</w:t>
      </w:r>
    </w:p>
    <w:p w14:paraId="477D7E94" w14:textId="66278580" w:rsidR="00704A93" w:rsidRDefault="00704A93" w:rsidP="00704A93">
      <w:pPr>
        <w:pStyle w:val="ListParagraph"/>
        <w:numPr>
          <w:ilvl w:val="1"/>
          <w:numId w:val="19"/>
        </w:numPr>
        <w:rPr>
          <w:lang w:eastAsia="en-AU"/>
        </w:rPr>
      </w:pPr>
      <w:r>
        <w:rPr>
          <w:lang w:eastAsia="en-AU"/>
        </w:rPr>
        <w:t>Prepayments</w:t>
      </w:r>
    </w:p>
    <w:p w14:paraId="2D81811B" w14:textId="3CA59076" w:rsidR="00704A93" w:rsidRDefault="00704A93" w:rsidP="00704A93">
      <w:pPr>
        <w:pStyle w:val="ListParagraph"/>
        <w:numPr>
          <w:ilvl w:val="1"/>
          <w:numId w:val="19"/>
        </w:numPr>
        <w:rPr>
          <w:lang w:eastAsia="en-AU"/>
        </w:rPr>
      </w:pPr>
      <w:r>
        <w:rPr>
          <w:lang w:eastAsia="en-AU"/>
        </w:rPr>
        <w:t>Revenue recognition</w:t>
      </w:r>
      <w:r w:rsidR="004032EB">
        <w:rPr>
          <w:lang w:eastAsia="en-AU"/>
        </w:rPr>
        <w:t xml:space="preserve"> including unearned</w:t>
      </w:r>
      <w:r w:rsidR="00264493">
        <w:rPr>
          <w:lang w:eastAsia="en-AU"/>
        </w:rPr>
        <w:t xml:space="preserve"> revenue</w:t>
      </w:r>
      <w:r w:rsidR="004032EB">
        <w:rPr>
          <w:lang w:eastAsia="en-AU"/>
        </w:rPr>
        <w:t xml:space="preserve"> balances</w:t>
      </w:r>
    </w:p>
    <w:p w14:paraId="2EBD1934" w14:textId="543A5868" w:rsidR="00804ECA" w:rsidRDefault="00704A93" w:rsidP="00704A93">
      <w:pPr>
        <w:pStyle w:val="ListParagraph"/>
        <w:numPr>
          <w:ilvl w:val="1"/>
          <w:numId w:val="19"/>
        </w:numPr>
        <w:rPr>
          <w:lang w:eastAsia="en-AU"/>
        </w:rPr>
      </w:pPr>
      <w:r>
        <w:rPr>
          <w:lang w:eastAsia="en-AU"/>
        </w:rPr>
        <w:t>P</w:t>
      </w:r>
      <w:r w:rsidR="00804ECA">
        <w:rPr>
          <w:lang w:eastAsia="en-AU"/>
        </w:rPr>
        <w:t xml:space="preserve">rovisions </w:t>
      </w:r>
      <w:r>
        <w:rPr>
          <w:lang w:eastAsia="en-AU"/>
        </w:rPr>
        <w:t>including</w:t>
      </w:r>
      <w:r w:rsidR="00804ECA">
        <w:rPr>
          <w:lang w:eastAsia="en-AU"/>
        </w:rPr>
        <w:t xml:space="preserve"> employee entitlements such as recreation leave, doubtful debts and impairments</w:t>
      </w:r>
    </w:p>
    <w:p w14:paraId="0BD39841" w14:textId="77F1043F" w:rsidR="00704A93" w:rsidRDefault="00704A93" w:rsidP="00704A93">
      <w:pPr>
        <w:pStyle w:val="ListParagraph"/>
        <w:numPr>
          <w:ilvl w:val="1"/>
          <w:numId w:val="19"/>
        </w:numPr>
        <w:rPr>
          <w:lang w:eastAsia="en-AU"/>
        </w:rPr>
      </w:pPr>
      <w:r>
        <w:rPr>
          <w:lang w:eastAsia="en-AU"/>
        </w:rPr>
        <w:t>Asset revaluations, impairments, write-offs and disposals</w:t>
      </w:r>
    </w:p>
    <w:p w14:paraId="5EEB6663" w14:textId="0D514889" w:rsidR="00704A93" w:rsidRDefault="00704A93" w:rsidP="00704A93">
      <w:pPr>
        <w:pStyle w:val="ListParagraph"/>
        <w:numPr>
          <w:ilvl w:val="1"/>
          <w:numId w:val="19"/>
        </w:numPr>
        <w:rPr>
          <w:lang w:eastAsia="en-AU"/>
        </w:rPr>
      </w:pPr>
      <w:r>
        <w:rPr>
          <w:lang w:eastAsia="en-AU"/>
        </w:rPr>
        <w:t>Lease adjustments</w:t>
      </w:r>
    </w:p>
    <w:p w14:paraId="5DF234F7" w14:textId="5DFC85CA" w:rsidR="00804ECA" w:rsidRDefault="00804ECA" w:rsidP="00704A93">
      <w:pPr>
        <w:pStyle w:val="ListParagraph"/>
        <w:numPr>
          <w:ilvl w:val="1"/>
          <w:numId w:val="19"/>
        </w:numPr>
        <w:rPr>
          <w:lang w:eastAsia="en-AU"/>
        </w:rPr>
      </w:pPr>
      <w:r>
        <w:rPr>
          <w:lang w:eastAsia="en-AU"/>
        </w:rPr>
        <w:t>Clear</w:t>
      </w:r>
      <w:r w:rsidR="004032EB">
        <w:rPr>
          <w:lang w:eastAsia="en-AU"/>
        </w:rPr>
        <w:t>ing of</w:t>
      </w:r>
      <w:r>
        <w:rPr>
          <w:lang w:eastAsia="en-AU"/>
        </w:rPr>
        <w:t xml:space="preserve"> suspense accounts</w:t>
      </w:r>
    </w:p>
    <w:p w14:paraId="2FF780E8" w14:textId="4CD99B0D" w:rsidR="00804ECA" w:rsidRPr="00865871" w:rsidRDefault="00804ECA" w:rsidP="00804ECA">
      <w:pPr>
        <w:pStyle w:val="Heading2"/>
        <w:rPr>
          <w:lang w:eastAsia="en-AU"/>
        </w:rPr>
      </w:pPr>
      <w:bookmarkStart w:id="5" w:name="_Toc222755593"/>
      <w:r>
        <w:rPr>
          <w:lang w:eastAsia="en-AU"/>
        </w:rPr>
        <w:t xml:space="preserve">Complete all end </w:t>
      </w:r>
      <w:r w:rsidRPr="00865871">
        <w:rPr>
          <w:lang w:eastAsia="en-AU"/>
        </w:rPr>
        <w:t>of financial year reconciliations</w:t>
      </w:r>
      <w:bookmarkEnd w:id="5"/>
    </w:p>
    <w:p w14:paraId="4763CA11" w14:textId="646DE77C" w:rsidR="00704A93" w:rsidRPr="00865871" w:rsidRDefault="00704A93" w:rsidP="00704A93">
      <w:pPr>
        <w:pStyle w:val="BodyText"/>
        <w:numPr>
          <w:ilvl w:val="0"/>
          <w:numId w:val="22"/>
        </w:numPr>
        <w:rPr>
          <w:lang w:eastAsia="en-AU"/>
        </w:rPr>
      </w:pPr>
      <w:r w:rsidRPr="00865871">
        <w:rPr>
          <w:lang w:eastAsia="en-AU"/>
        </w:rPr>
        <w:t>Reconcile all financial statement line items</w:t>
      </w:r>
      <w:r w:rsidR="00621507" w:rsidRPr="00865871">
        <w:rPr>
          <w:lang w:eastAsia="en-AU"/>
        </w:rPr>
        <w:t xml:space="preserve"> </w:t>
      </w:r>
      <w:r w:rsidR="00621507" w:rsidRPr="00266B33">
        <w:rPr>
          <w:u w:val="single"/>
          <w:lang w:eastAsia="en-AU"/>
        </w:rPr>
        <w:t>within</w:t>
      </w:r>
      <w:r w:rsidR="00621507" w:rsidRPr="00865871">
        <w:rPr>
          <w:lang w:eastAsia="en-AU"/>
        </w:rPr>
        <w:t xml:space="preserve"> Period 14</w:t>
      </w:r>
      <w:r w:rsidR="00954AA7" w:rsidRPr="00865871">
        <w:rPr>
          <w:lang w:eastAsia="en-AU"/>
        </w:rPr>
        <w:t xml:space="preserve">. </w:t>
      </w:r>
      <w:r w:rsidR="004176D1" w:rsidRPr="00865871">
        <w:rPr>
          <w:lang w:eastAsia="en-AU"/>
        </w:rPr>
        <w:t>Pro forma</w:t>
      </w:r>
      <w:r w:rsidR="00954AA7" w:rsidRPr="00865871">
        <w:rPr>
          <w:lang w:eastAsia="en-AU"/>
        </w:rPr>
        <w:t xml:space="preserve"> reconciliation </w:t>
      </w:r>
      <w:r w:rsidR="004176D1" w:rsidRPr="00865871">
        <w:rPr>
          <w:lang w:eastAsia="en-AU"/>
        </w:rPr>
        <w:t xml:space="preserve">templates </w:t>
      </w:r>
      <w:r w:rsidR="00954AA7" w:rsidRPr="00865871">
        <w:rPr>
          <w:lang w:eastAsia="en-AU"/>
        </w:rPr>
        <w:t xml:space="preserve">for balance sheet and operating statement line items </w:t>
      </w:r>
      <w:r w:rsidR="004176D1" w:rsidRPr="00865871">
        <w:rPr>
          <w:lang w:eastAsia="en-AU"/>
        </w:rPr>
        <w:t xml:space="preserve">are </w:t>
      </w:r>
      <w:r w:rsidR="00954AA7" w:rsidRPr="00865871">
        <w:rPr>
          <w:lang w:eastAsia="en-AU"/>
        </w:rPr>
        <w:t xml:space="preserve">provided </w:t>
      </w:r>
      <w:r w:rsidR="004176D1" w:rsidRPr="00865871">
        <w:rPr>
          <w:lang w:eastAsia="en-AU"/>
        </w:rPr>
        <w:t xml:space="preserve">as a minimum </w:t>
      </w:r>
      <w:r w:rsidR="00954AA7" w:rsidRPr="00865871">
        <w:rPr>
          <w:lang w:eastAsia="en-AU"/>
        </w:rPr>
        <w:t xml:space="preserve">in </w:t>
      </w:r>
      <w:r w:rsidR="00954AA7" w:rsidRPr="00865871">
        <w:rPr>
          <w:i/>
          <w:iCs/>
          <w:lang w:eastAsia="en-AU"/>
        </w:rPr>
        <w:t xml:space="preserve">Appendix </w:t>
      </w:r>
      <w:r w:rsidR="00AD004A" w:rsidRPr="00865871">
        <w:rPr>
          <w:i/>
          <w:iCs/>
          <w:lang w:eastAsia="en-AU"/>
        </w:rPr>
        <w:t>D</w:t>
      </w:r>
      <w:r w:rsidR="00C177D3" w:rsidRPr="00865871">
        <w:rPr>
          <w:i/>
          <w:iCs/>
          <w:lang w:eastAsia="en-AU"/>
        </w:rPr>
        <w:t xml:space="preserve"> - </w:t>
      </w:r>
      <w:r w:rsidR="00954AA7" w:rsidRPr="00865871">
        <w:rPr>
          <w:i/>
          <w:iCs/>
          <w:lang w:eastAsia="en-AU"/>
        </w:rPr>
        <w:t>Reconciliation Templates</w:t>
      </w:r>
    </w:p>
    <w:p w14:paraId="2689DDED" w14:textId="2CDB433A" w:rsidR="000C209B" w:rsidRPr="00865871" w:rsidRDefault="000C209B" w:rsidP="00704A93">
      <w:pPr>
        <w:pStyle w:val="BodyText"/>
        <w:numPr>
          <w:ilvl w:val="0"/>
          <w:numId w:val="22"/>
        </w:numPr>
        <w:rPr>
          <w:i/>
          <w:iCs/>
          <w:lang w:eastAsia="en-AU"/>
        </w:rPr>
      </w:pPr>
      <w:r w:rsidRPr="00865871">
        <w:rPr>
          <w:lang w:eastAsia="en-AU"/>
        </w:rPr>
        <w:t xml:space="preserve">A proforma workplan to assist in the completion of account reconciliations and note disclosures is provided in </w:t>
      </w:r>
      <w:r w:rsidRPr="00865871">
        <w:rPr>
          <w:i/>
          <w:iCs/>
          <w:lang w:eastAsia="en-AU"/>
        </w:rPr>
        <w:t xml:space="preserve">Appendix B – Reconciliation and </w:t>
      </w:r>
      <w:r w:rsidR="00DD7CF0" w:rsidRPr="00865871">
        <w:rPr>
          <w:i/>
          <w:iCs/>
          <w:lang w:eastAsia="en-AU"/>
        </w:rPr>
        <w:t>N</w:t>
      </w:r>
      <w:r w:rsidRPr="00865871">
        <w:rPr>
          <w:i/>
          <w:iCs/>
          <w:lang w:eastAsia="en-AU"/>
        </w:rPr>
        <w:t xml:space="preserve">ote </w:t>
      </w:r>
      <w:r w:rsidR="00DD7CF0" w:rsidRPr="00865871">
        <w:rPr>
          <w:i/>
          <w:iCs/>
          <w:lang w:eastAsia="en-AU"/>
        </w:rPr>
        <w:t>W</w:t>
      </w:r>
      <w:r w:rsidRPr="00865871">
        <w:rPr>
          <w:i/>
          <w:iCs/>
          <w:lang w:eastAsia="en-AU"/>
        </w:rPr>
        <w:t>orkplan</w:t>
      </w:r>
    </w:p>
    <w:p w14:paraId="76F476B9" w14:textId="69B429A9" w:rsidR="00704A93" w:rsidRPr="00865871" w:rsidRDefault="00704A93" w:rsidP="00704A93">
      <w:pPr>
        <w:pStyle w:val="BodyText"/>
        <w:numPr>
          <w:ilvl w:val="0"/>
          <w:numId w:val="22"/>
        </w:numPr>
        <w:rPr>
          <w:lang w:eastAsia="en-AU"/>
        </w:rPr>
      </w:pPr>
      <w:r w:rsidRPr="00865871">
        <w:rPr>
          <w:lang w:eastAsia="en-AU"/>
        </w:rPr>
        <w:t xml:space="preserve">Review unusual balances, </w:t>
      </w:r>
      <w:r w:rsidR="00264493" w:rsidRPr="00865871">
        <w:rPr>
          <w:lang w:eastAsia="en-AU"/>
        </w:rPr>
        <w:t xml:space="preserve">material </w:t>
      </w:r>
      <w:r w:rsidRPr="00865871">
        <w:rPr>
          <w:lang w:eastAsia="en-AU"/>
        </w:rPr>
        <w:t>movements, and long</w:t>
      </w:r>
      <w:r w:rsidRPr="00865871">
        <w:rPr>
          <w:lang w:eastAsia="en-AU"/>
        </w:rPr>
        <w:noBreakHyphen/>
        <w:t>outstanding items</w:t>
      </w:r>
    </w:p>
    <w:p w14:paraId="42997EDA" w14:textId="1058C81B" w:rsidR="00264493" w:rsidRPr="00865871" w:rsidRDefault="00264493" w:rsidP="00704A93">
      <w:pPr>
        <w:pStyle w:val="BodyText"/>
        <w:numPr>
          <w:ilvl w:val="0"/>
          <w:numId w:val="22"/>
        </w:numPr>
        <w:rPr>
          <w:lang w:eastAsia="en-AU"/>
        </w:rPr>
      </w:pPr>
      <w:r w:rsidRPr="00865871">
        <w:rPr>
          <w:lang w:eastAsia="en-AU"/>
        </w:rPr>
        <w:t xml:space="preserve">Process any rectification journals as identified in the reconciliations </w:t>
      </w:r>
      <w:r w:rsidR="00E818D7">
        <w:rPr>
          <w:lang w:eastAsia="en-AU"/>
        </w:rPr>
        <w:t>process (</w:t>
      </w:r>
      <w:proofErr w:type="spellStart"/>
      <w:r w:rsidR="00E818D7">
        <w:rPr>
          <w:lang w:eastAsia="en-AU"/>
        </w:rPr>
        <w:t>ie</w:t>
      </w:r>
      <w:proofErr w:type="spellEnd"/>
      <w:r w:rsidR="00E818D7">
        <w:rPr>
          <w:lang w:eastAsia="en-AU"/>
        </w:rPr>
        <w:t>. during Period 14)</w:t>
      </w:r>
    </w:p>
    <w:p w14:paraId="2A24E8B4" w14:textId="67565BC2" w:rsidR="00DF4114" w:rsidRPr="00865871" w:rsidRDefault="00DF4114" w:rsidP="00DF4114">
      <w:pPr>
        <w:pStyle w:val="ListParagraph"/>
        <w:numPr>
          <w:ilvl w:val="0"/>
          <w:numId w:val="22"/>
        </w:numPr>
        <w:rPr>
          <w:lang w:eastAsia="en-AU"/>
        </w:rPr>
      </w:pPr>
      <w:r w:rsidRPr="00865871">
        <w:rPr>
          <w:lang w:eastAsia="en-AU"/>
        </w:rPr>
        <w:t xml:space="preserve">Prepare and submit </w:t>
      </w:r>
      <w:r w:rsidR="004176D1" w:rsidRPr="00865871">
        <w:rPr>
          <w:lang w:eastAsia="en-AU"/>
        </w:rPr>
        <w:t xml:space="preserve">reconciliations to </w:t>
      </w:r>
      <w:r w:rsidRPr="00865871">
        <w:rPr>
          <w:lang w:eastAsia="en-AU"/>
        </w:rPr>
        <w:t xml:space="preserve">Department of Treasury and Finance </w:t>
      </w:r>
      <w:r w:rsidR="004176D1" w:rsidRPr="00865871">
        <w:rPr>
          <w:lang w:eastAsia="en-AU"/>
        </w:rPr>
        <w:t xml:space="preserve">aligned with </w:t>
      </w:r>
      <w:r w:rsidRPr="00865871">
        <w:rPr>
          <w:lang w:eastAsia="en-AU"/>
        </w:rPr>
        <w:t>end of financial year data requests</w:t>
      </w:r>
    </w:p>
    <w:p w14:paraId="72876D01" w14:textId="1A862E1C" w:rsidR="00804ECA" w:rsidRPr="00865871" w:rsidRDefault="00804ECA" w:rsidP="00704A93">
      <w:pPr>
        <w:pStyle w:val="Heading2"/>
        <w:rPr>
          <w:lang w:eastAsia="en-AU"/>
        </w:rPr>
      </w:pPr>
      <w:bookmarkStart w:id="6" w:name="_Toc222755594"/>
      <w:r w:rsidRPr="00865871">
        <w:rPr>
          <w:lang w:eastAsia="en-AU"/>
        </w:rPr>
        <w:t>Conduct analytical review</w:t>
      </w:r>
      <w:bookmarkEnd w:id="6"/>
    </w:p>
    <w:p w14:paraId="1E49CE42" w14:textId="3901797E" w:rsidR="00804ECA" w:rsidRPr="00865871" w:rsidRDefault="00804ECA" w:rsidP="00804ECA">
      <w:pPr>
        <w:pStyle w:val="ListParagraph"/>
        <w:numPr>
          <w:ilvl w:val="0"/>
          <w:numId w:val="20"/>
        </w:numPr>
        <w:rPr>
          <w:lang w:eastAsia="en-AU"/>
        </w:rPr>
      </w:pPr>
      <w:r w:rsidRPr="00865871">
        <w:rPr>
          <w:lang w:eastAsia="en-AU"/>
        </w:rPr>
        <w:t>Compare actual to budget and prior year</w:t>
      </w:r>
      <w:r w:rsidR="00954AA7" w:rsidRPr="00865871">
        <w:rPr>
          <w:lang w:eastAsia="en-AU"/>
        </w:rPr>
        <w:t xml:space="preserve">. A </w:t>
      </w:r>
      <w:r w:rsidR="004176D1" w:rsidRPr="00865871">
        <w:rPr>
          <w:lang w:eastAsia="en-AU"/>
        </w:rPr>
        <w:t xml:space="preserve">pro forma </w:t>
      </w:r>
      <w:r w:rsidR="00954AA7" w:rsidRPr="00865871">
        <w:rPr>
          <w:lang w:eastAsia="en-AU"/>
        </w:rPr>
        <w:t xml:space="preserve">template for analytical </w:t>
      </w:r>
      <w:r w:rsidR="00C177D3" w:rsidRPr="00865871">
        <w:rPr>
          <w:lang w:eastAsia="en-AU"/>
        </w:rPr>
        <w:t xml:space="preserve">review </w:t>
      </w:r>
      <w:r w:rsidR="00954AA7" w:rsidRPr="00865871">
        <w:rPr>
          <w:lang w:eastAsia="en-AU"/>
        </w:rPr>
        <w:t xml:space="preserve">is </w:t>
      </w:r>
      <w:r w:rsidR="00595600" w:rsidRPr="00865871">
        <w:rPr>
          <w:lang w:eastAsia="en-AU"/>
        </w:rPr>
        <w:t>provided as a minimum in</w:t>
      </w:r>
      <w:r w:rsidR="00954AA7" w:rsidRPr="00865871">
        <w:rPr>
          <w:lang w:eastAsia="en-AU"/>
        </w:rPr>
        <w:t xml:space="preserve"> </w:t>
      </w:r>
      <w:r w:rsidR="00954AA7" w:rsidRPr="00865871">
        <w:rPr>
          <w:i/>
          <w:iCs w:val="0"/>
          <w:lang w:eastAsia="en-AU"/>
        </w:rPr>
        <w:t xml:space="preserve">Appendix </w:t>
      </w:r>
      <w:r w:rsidR="00C177D3" w:rsidRPr="00865871">
        <w:rPr>
          <w:i/>
          <w:iCs w:val="0"/>
          <w:lang w:eastAsia="en-AU"/>
        </w:rPr>
        <w:t xml:space="preserve">E </w:t>
      </w:r>
      <w:r w:rsidR="00AA28A0">
        <w:rPr>
          <w:i/>
          <w:iCs w:val="0"/>
          <w:lang w:eastAsia="en-AU"/>
        </w:rPr>
        <w:t>–</w:t>
      </w:r>
      <w:r w:rsidR="00954AA7" w:rsidRPr="00865871">
        <w:rPr>
          <w:i/>
          <w:iCs w:val="0"/>
          <w:lang w:eastAsia="en-AU"/>
        </w:rPr>
        <w:t xml:space="preserve"> </w:t>
      </w:r>
      <w:r w:rsidR="000C209B" w:rsidRPr="00865871">
        <w:rPr>
          <w:i/>
          <w:iCs w:val="0"/>
          <w:lang w:eastAsia="en-AU"/>
        </w:rPr>
        <w:t xml:space="preserve">Analytical Review </w:t>
      </w:r>
      <w:r w:rsidR="00954AA7" w:rsidRPr="00865871">
        <w:rPr>
          <w:i/>
          <w:iCs w:val="0"/>
          <w:lang w:eastAsia="en-AU"/>
        </w:rPr>
        <w:t>Template</w:t>
      </w:r>
    </w:p>
    <w:p w14:paraId="168E4E43" w14:textId="4F595247" w:rsidR="00804ECA" w:rsidRPr="00804ECA" w:rsidRDefault="00804ECA" w:rsidP="00804ECA">
      <w:pPr>
        <w:pStyle w:val="ListParagraph"/>
        <w:numPr>
          <w:ilvl w:val="0"/>
          <w:numId w:val="20"/>
        </w:numPr>
        <w:rPr>
          <w:lang w:eastAsia="en-AU"/>
        </w:rPr>
      </w:pPr>
      <w:r w:rsidRPr="00804ECA">
        <w:rPr>
          <w:lang w:eastAsia="en-AU"/>
        </w:rPr>
        <w:t xml:space="preserve">Investigate variances and document explanations </w:t>
      </w:r>
    </w:p>
    <w:p w14:paraId="6934A3D4" w14:textId="11F3E31E" w:rsidR="00704A93" w:rsidRPr="00704A93" w:rsidDel="00EF432F" w:rsidRDefault="00704A93" w:rsidP="00704A93">
      <w:pPr>
        <w:pStyle w:val="Heading2"/>
        <w:rPr>
          <w:lang w:eastAsia="en-AU"/>
        </w:rPr>
      </w:pPr>
      <w:bookmarkStart w:id="7" w:name="_Toc222755595"/>
      <w:r w:rsidRPr="00704A93" w:rsidDel="00EF432F">
        <w:rPr>
          <w:lang w:eastAsia="en-AU"/>
        </w:rPr>
        <w:t xml:space="preserve">Ensure </w:t>
      </w:r>
      <w:r w:rsidDel="00EF432F">
        <w:rPr>
          <w:lang w:eastAsia="en-AU"/>
        </w:rPr>
        <w:t>c</w:t>
      </w:r>
      <w:r w:rsidRPr="00704A93" w:rsidDel="00EF432F">
        <w:rPr>
          <w:lang w:eastAsia="en-AU"/>
        </w:rPr>
        <w:t xml:space="preserve">ompliance </w:t>
      </w:r>
      <w:r w:rsidDel="00EF432F">
        <w:rPr>
          <w:lang w:eastAsia="en-AU"/>
        </w:rPr>
        <w:t>w</w:t>
      </w:r>
      <w:r w:rsidRPr="00704A93" w:rsidDel="00EF432F">
        <w:rPr>
          <w:lang w:eastAsia="en-AU"/>
        </w:rPr>
        <w:t xml:space="preserve">ith </w:t>
      </w:r>
      <w:r w:rsidDel="00EF432F">
        <w:rPr>
          <w:lang w:eastAsia="en-AU"/>
        </w:rPr>
        <w:t>a</w:t>
      </w:r>
      <w:r w:rsidRPr="00704A93" w:rsidDel="00EF432F">
        <w:rPr>
          <w:lang w:eastAsia="en-AU"/>
        </w:rPr>
        <w:t xml:space="preserve">ccounting </w:t>
      </w:r>
      <w:r w:rsidDel="00EF432F">
        <w:rPr>
          <w:lang w:eastAsia="en-AU"/>
        </w:rPr>
        <w:t>s</w:t>
      </w:r>
      <w:r w:rsidRPr="00704A93" w:rsidDel="00EF432F">
        <w:rPr>
          <w:lang w:eastAsia="en-AU"/>
        </w:rPr>
        <w:t xml:space="preserve">tandards and </w:t>
      </w:r>
      <w:r w:rsidDel="00EF432F">
        <w:rPr>
          <w:lang w:eastAsia="en-AU"/>
        </w:rPr>
        <w:t>p</w:t>
      </w:r>
      <w:r w:rsidRPr="00704A93" w:rsidDel="00EF432F">
        <w:rPr>
          <w:lang w:eastAsia="en-AU"/>
        </w:rPr>
        <w:t>olicies</w:t>
      </w:r>
      <w:bookmarkEnd w:id="7"/>
    </w:p>
    <w:p w14:paraId="237DECB6" w14:textId="544F6CDC" w:rsidR="00704A93" w:rsidRPr="00704A93" w:rsidDel="00EF432F" w:rsidRDefault="00704A93" w:rsidP="00704A93">
      <w:pPr>
        <w:numPr>
          <w:ilvl w:val="0"/>
          <w:numId w:val="21"/>
        </w:numPr>
        <w:rPr>
          <w:lang w:eastAsia="en-AU"/>
        </w:rPr>
      </w:pPr>
      <w:r w:rsidRPr="00704A93" w:rsidDel="00EF432F">
        <w:rPr>
          <w:lang w:eastAsia="en-AU"/>
        </w:rPr>
        <w:t>Confirm appropriate application of relevant standards (e.g. revenue, leases, provisions)</w:t>
      </w:r>
    </w:p>
    <w:p w14:paraId="30EEBCCA" w14:textId="33178A8E" w:rsidR="00704A93" w:rsidRPr="00704A93" w:rsidDel="00EF432F" w:rsidRDefault="00704A93" w:rsidP="00704A93">
      <w:pPr>
        <w:numPr>
          <w:ilvl w:val="0"/>
          <w:numId w:val="21"/>
        </w:numPr>
        <w:rPr>
          <w:lang w:eastAsia="en-AU"/>
        </w:rPr>
      </w:pPr>
      <w:r w:rsidRPr="00704A93" w:rsidDel="00EF432F">
        <w:rPr>
          <w:lang w:eastAsia="en-AU"/>
        </w:rPr>
        <w:t>Ensure internal accounting policies have been applied consistently</w:t>
      </w:r>
    </w:p>
    <w:p w14:paraId="51CD4D79" w14:textId="0D94330C" w:rsidR="00704A93" w:rsidDel="00EF432F" w:rsidRDefault="00704A93" w:rsidP="00704A93">
      <w:pPr>
        <w:numPr>
          <w:ilvl w:val="0"/>
          <w:numId w:val="21"/>
        </w:numPr>
        <w:rPr>
          <w:lang w:eastAsia="en-AU"/>
        </w:rPr>
      </w:pPr>
      <w:r w:rsidRPr="00704A93" w:rsidDel="00EF432F">
        <w:rPr>
          <w:lang w:eastAsia="en-AU"/>
        </w:rPr>
        <w:t xml:space="preserve">Update </w:t>
      </w:r>
      <w:r w:rsidDel="00EF432F">
        <w:rPr>
          <w:lang w:eastAsia="en-AU"/>
        </w:rPr>
        <w:t xml:space="preserve">balances or disclosures </w:t>
      </w:r>
      <w:r w:rsidR="00264493" w:rsidDel="00EF432F">
        <w:rPr>
          <w:lang w:eastAsia="en-AU"/>
        </w:rPr>
        <w:t xml:space="preserve">in reference to </w:t>
      </w:r>
      <w:r w:rsidRPr="00704A93" w:rsidDel="00EF432F">
        <w:rPr>
          <w:lang w:eastAsia="en-AU"/>
        </w:rPr>
        <w:t xml:space="preserve">any policy changes or new standards impacting the </w:t>
      </w:r>
      <w:r w:rsidR="00264493" w:rsidDel="00EF432F">
        <w:rPr>
          <w:lang w:eastAsia="en-AU"/>
        </w:rPr>
        <w:t xml:space="preserve">financial </w:t>
      </w:r>
      <w:r w:rsidRPr="00704A93" w:rsidDel="00EF432F">
        <w:rPr>
          <w:lang w:eastAsia="en-AU"/>
        </w:rPr>
        <w:t>year</w:t>
      </w:r>
    </w:p>
    <w:p w14:paraId="47BF59D2" w14:textId="712D39EA" w:rsidR="00264493" w:rsidRPr="00704A93" w:rsidDel="00EF432F" w:rsidRDefault="00264493" w:rsidP="00704A93">
      <w:pPr>
        <w:numPr>
          <w:ilvl w:val="0"/>
          <w:numId w:val="21"/>
        </w:numPr>
        <w:rPr>
          <w:lang w:eastAsia="en-AU"/>
        </w:rPr>
      </w:pPr>
      <w:r w:rsidDel="00EF432F">
        <w:rPr>
          <w:lang w:eastAsia="en-AU"/>
        </w:rPr>
        <w:t>Ensure all returns for submission to the Department of Treasury and Finance have been completed on time</w:t>
      </w:r>
    </w:p>
    <w:p w14:paraId="5C829804" w14:textId="3141F29F" w:rsidR="00704A93" w:rsidRPr="00704A93" w:rsidRDefault="00704A93" w:rsidP="00704A93">
      <w:pPr>
        <w:pStyle w:val="Heading2"/>
        <w:rPr>
          <w:lang w:eastAsia="en-AU"/>
        </w:rPr>
      </w:pPr>
      <w:bookmarkStart w:id="8" w:name="_Toc222755596"/>
      <w:r>
        <w:rPr>
          <w:lang w:eastAsia="en-AU"/>
        </w:rPr>
        <w:lastRenderedPageBreak/>
        <w:t>P</w:t>
      </w:r>
      <w:r w:rsidRPr="00704A93">
        <w:rPr>
          <w:lang w:eastAsia="en-AU"/>
        </w:rPr>
        <w:t xml:space="preserve">repare </w:t>
      </w:r>
      <w:r>
        <w:rPr>
          <w:lang w:eastAsia="en-AU"/>
        </w:rPr>
        <w:t>d</w:t>
      </w:r>
      <w:r w:rsidRPr="00704A93">
        <w:rPr>
          <w:lang w:eastAsia="en-AU"/>
        </w:rPr>
        <w:t xml:space="preserve">raft </w:t>
      </w:r>
      <w:r>
        <w:rPr>
          <w:lang w:eastAsia="en-AU"/>
        </w:rPr>
        <w:t>f</w:t>
      </w:r>
      <w:r w:rsidRPr="00704A93">
        <w:rPr>
          <w:lang w:eastAsia="en-AU"/>
        </w:rPr>
        <w:t xml:space="preserve">inancial </w:t>
      </w:r>
      <w:r>
        <w:rPr>
          <w:lang w:eastAsia="en-AU"/>
        </w:rPr>
        <w:t>s</w:t>
      </w:r>
      <w:r w:rsidRPr="00704A93">
        <w:rPr>
          <w:lang w:eastAsia="en-AU"/>
        </w:rPr>
        <w:t>tatements</w:t>
      </w:r>
      <w:bookmarkEnd w:id="8"/>
    </w:p>
    <w:p w14:paraId="6C011314" w14:textId="2B587C0C" w:rsidR="00264493" w:rsidRDefault="00264493" w:rsidP="00704A93">
      <w:pPr>
        <w:numPr>
          <w:ilvl w:val="0"/>
          <w:numId w:val="24"/>
        </w:numPr>
        <w:rPr>
          <w:lang w:eastAsia="en-AU"/>
        </w:rPr>
      </w:pPr>
      <w:r>
        <w:rPr>
          <w:lang w:eastAsia="en-AU"/>
        </w:rPr>
        <w:t>CFO or equivalent should review and sign-off on</w:t>
      </w:r>
      <w:r w:rsidR="00A766CB">
        <w:rPr>
          <w:lang w:eastAsia="en-AU"/>
        </w:rPr>
        <w:t xml:space="preserve"> all</w:t>
      </w:r>
      <w:r>
        <w:rPr>
          <w:lang w:eastAsia="en-AU"/>
        </w:rPr>
        <w:t xml:space="preserve"> reconciliation</w:t>
      </w:r>
      <w:r w:rsidR="00A766CB">
        <w:rPr>
          <w:lang w:eastAsia="en-AU"/>
        </w:rPr>
        <w:t>s</w:t>
      </w:r>
      <w:r>
        <w:rPr>
          <w:lang w:eastAsia="en-AU"/>
        </w:rPr>
        <w:t xml:space="preserve"> and analytical </w:t>
      </w:r>
      <w:r w:rsidR="00595600">
        <w:rPr>
          <w:lang w:eastAsia="en-AU"/>
        </w:rPr>
        <w:t>reviews</w:t>
      </w:r>
      <w:r>
        <w:rPr>
          <w:lang w:eastAsia="en-AU"/>
        </w:rPr>
        <w:t xml:space="preserve"> completed</w:t>
      </w:r>
    </w:p>
    <w:p w14:paraId="384F1EF0" w14:textId="3136DB9E" w:rsidR="00A766CB" w:rsidRDefault="00A766CB" w:rsidP="00A766CB">
      <w:pPr>
        <w:numPr>
          <w:ilvl w:val="0"/>
          <w:numId w:val="24"/>
        </w:numPr>
        <w:rPr>
          <w:lang w:eastAsia="en-AU"/>
        </w:rPr>
      </w:pPr>
      <w:r>
        <w:rPr>
          <w:lang w:eastAsia="en-AU"/>
        </w:rPr>
        <w:t xml:space="preserve">Refer to Treasurer’s Direction R2.1 Agency Financial Statements to ensure completeness of information to be compiled. Note that materiality thresholds for note disclosures in agency financial statements are assessed separately from materiality thresholds for end of financial year reconciliations and analytical reviews. </w:t>
      </w:r>
      <w:r w:rsidR="00624C07">
        <w:rPr>
          <w:lang w:eastAsia="en-AU"/>
        </w:rPr>
        <w:t>Also r</w:t>
      </w:r>
      <w:r>
        <w:rPr>
          <w:lang w:eastAsia="en-AU"/>
        </w:rPr>
        <w:t xml:space="preserve">efer to section 4.1 </w:t>
      </w:r>
      <w:r w:rsidR="00624C07">
        <w:rPr>
          <w:lang w:eastAsia="en-AU"/>
        </w:rPr>
        <w:t>of</w:t>
      </w:r>
      <w:r>
        <w:rPr>
          <w:lang w:eastAsia="en-AU"/>
        </w:rPr>
        <w:t xml:space="preserve"> this guidance.</w:t>
      </w:r>
    </w:p>
    <w:p w14:paraId="190EBC87" w14:textId="410B5D24" w:rsidR="00704A93" w:rsidRPr="00704A93" w:rsidRDefault="00704A93" w:rsidP="00704A93">
      <w:pPr>
        <w:numPr>
          <w:ilvl w:val="0"/>
          <w:numId w:val="24"/>
        </w:numPr>
        <w:rPr>
          <w:lang w:eastAsia="en-AU"/>
        </w:rPr>
      </w:pPr>
      <w:r w:rsidRPr="00704A93">
        <w:rPr>
          <w:lang w:eastAsia="en-AU"/>
        </w:rPr>
        <w:t>Compile the statements, notes, and disclosures</w:t>
      </w:r>
      <w:r w:rsidR="009C3CF5">
        <w:rPr>
          <w:lang w:eastAsia="en-AU"/>
        </w:rPr>
        <w:t xml:space="preserve"> using template proformas as </w:t>
      </w:r>
      <w:r w:rsidR="00540F83">
        <w:rPr>
          <w:lang w:eastAsia="en-AU"/>
        </w:rPr>
        <w:t>required by Treasurer’s Directions</w:t>
      </w:r>
    </w:p>
    <w:p w14:paraId="6563502C" w14:textId="2973FC57" w:rsidR="00704A93" w:rsidRDefault="00704A93" w:rsidP="00704A93">
      <w:pPr>
        <w:numPr>
          <w:ilvl w:val="0"/>
          <w:numId w:val="24"/>
        </w:numPr>
        <w:rPr>
          <w:lang w:eastAsia="en-AU"/>
        </w:rPr>
      </w:pPr>
      <w:r w:rsidRPr="00704A93">
        <w:rPr>
          <w:lang w:eastAsia="en-AU"/>
        </w:rPr>
        <w:t>Review for accuracy, consistency, and compliance with relevant standards and legislative requirements</w:t>
      </w:r>
    </w:p>
    <w:p w14:paraId="2FB4CB16" w14:textId="582AD12C" w:rsidR="00595600" w:rsidRDefault="00595600" w:rsidP="00595600">
      <w:pPr>
        <w:numPr>
          <w:ilvl w:val="0"/>
          <w:numId w:val="24"/>
        </w:numPr>
        <w:rPr>
          <w:lang w:eastAsia="en-AU"/>
        </w:rPr>
      </w:pPr>
      <w:r w:rsidRPr="00704A93">
        <w:rPr>
          <w:lang w:eastAsia="en-AU"/>
        </w:rPr>
        <w:t>Circulate draft</w:t>
      </w:r>
      <w:r w:rsidR="00624C07">
        <w:rPr>
          <w:lang w:eastAsia="en-AU"/>
        </w:rPr>
        <w:t xml:space="preserve"> reports</w:t>
      </w:r>
      <w:r w:rsidRPr="00704A93">
        <w:rPr>
          <w:lang w:eastAsia="en-AU"/>
        </w:rPr>
        <w:t xml:space="preserve"> to</w:t>
      </w:r>
      <w:r>
        <w:rPr>
          <w:lang w:eastAsia="en-AU"/>
        </w:rPr>
        <w:t xml:space="preserve"> auditors</w:t>
      </w:r>
      <w:r w:rsidRPr="00704A93">
        <w:rPr>
          <w:lang w:eastAsia="en-AU"/>
        </w:rPr>
        <w:t xml:space="preserve">, </w:t>
      </w:r>
      <w:r>
        <w:rPr>
          <w:lang w:eastAsia="en-AU"/>
        </w:rPr>
        <w:t>Chief Financial Officer</w:t>
      </w:r>
      <w:r w:rsidRPr="00704A93">
        <w:rPr>
          <w:lang w:eastAsia="en-AU"/>
        </w:rPr>
        <w:t xml:space="preserve">, </w:t>
      </w:r>
      <w:r>
        <w:rPr>
          <w:lang w:eastAsia="en-AU"/>
        </w:rPr>
        <w:t>and where relevant to</w:t>
      </w:r>
      <w:r w:rsidRPr="00704A93">
        <w:rPr>
          <w:lang w:eastAsia="en-AU"/>
        </w:rPr>
        <w:t xml:space="preserve"> the </w:t>
      </w:r>
      <w:r>
        <w:rPr>
          <w:lang w:eastAsia="en-AU"/>
        </w:rPr>
        <w:t xml:space="preserve">agency’s </w:t>
      </w:r>
      <w:r w:rsidRPr="00704A93">
        <w:rPr>
          <w:lang w:eastAsia="en-AU"/>
        </w:rPr>
        <w:t xml:space="preserve">Audit </w:t>
      </w:r>
      <w:r>
        <w:rPr>
          <w:lang w:eastAsia="en-AU"/>
        </w:rPr>
        <w:t>and</w:t>
      </w:r>
      <w:r w:rsidRPr="00704A93">
        <w:rPr>
          <w:lang w:eastAsia="en-AU"/>
        </w:rPr>
        <w:t xml:space="preserve"> Risk Committee</w:t>
      </w:r>
    </w:p>
    <w:p w14:paraId="326ABD10" w14:textId="77777777" w:rsidR="004032EB" w:rsidRPr="00704A93" w:rsidRDefault="004032EB" w:rsidP="004032EB">
      <w:pPr>
        <w:pStyle w:val="Heading2"/>
        <w:rPr>
          <w:rFonts w:eastAsia="Times New Roman"/>
          <w:lang w:eastAsia="en-AU"/>
        </w:rPr>
      </w:pPr>
      <w:bookmarkStart w:id="9" w:name="_Toc220079037"/>
      <w:bookmarkStart w:id="10" w:name="_Toc222755597"/>
      <w:bookmarkEnd w:id="9"/>
      <w:r w:rsidRPr="00704A93">
        <w:rPr>
          <w:rFonts w:eastAsia="Times New Roman"/>
          <w:lang w:eastAsia="en-AU"/>
        </w:rPr>
        <w:t xml:space="preserve">Prepare </w:t>
      </w:r>
      <w:r>
        <w:rPr>
          <w:rFonts w:eastAsia="Times New Roman"/>
          <w:lang w:eastAsia="en-AU"/>
        </w:rPr>
        <w:t>a</w:t>
      </w:r>
      <w:r w:rsidRPr="00704A93">
        <w:rPr>
          <w:rFonts w:eastAsia="Times New Roman"/>
          <w:lang w:eastAsia="en-AU"/>
        </w:rPr>
        <w:t>udit</w:t>
      </w:r>
      <w:r>
        <w:rPr>
          <w:rFonts w:eastAsia="Times New Roman"/>
          <w:lang w:eastAsia="en-AU"/>
        </w:rPr>
        <w:t xml:space="preserve"> d</w:t>
      </w:r>
      <w:r w:rsidRPr="00704A93">
        <w:rPr>
          <w:rFonts w:eastAsia="Times New Roman"/>
          <w:lang w:eastAsia="en-AU"/>
        </w:rPr>
        <w:t>ocumentation</w:t>
      </w:r>
      <w:bookmarkEnd w:id="10"/>
    </w:p>
    <w:p w14:paraId="43E3D4DF" w14:textId="4A7D0D9F" w:rsidR="004032EB" w:rsidRDefault="004032EB" w:rsidP="004032EB">
      <w:pPr>
        <w:pStyle w:val="ListParagraph"/>
        <w:numPr>
          <w:ilvl w:val="0"/>
          <w:numId w:val="23"/>
        </w:numPr>
        <w:rPr>
          <w:lang w:eastAsia="en-AU"/>
        </w:rPr>
      </w:pPr>
      <w:r>
        <w:rPr>
          <w:lang w:eastAsia="en-AU"/>
        </w:rPr>
        <w:t>Assemble financial statement workpapers and supporting documents including reconciliations, schedules</w:t>
      </w:r>
      <w:r w:rsidR="00AA28A0">
        <w:rPr>
          <w:lang w:eastAsia="en-AU"/>
        </w:rPr>
        <w:t>,</w:t>
      </w:r>
      <w:r>
        <w:rPr>
          <w:lang w:eastAsia="en-AU"/>
        </w:rPr>
        <w:t xml:space="preserve"> variance analysis and explanations</w:t>
      </w:r>
      <w:r w:rsidR="00AA28A0">
        <w:rPr>
          <w:lang w:eastAsia="en-AU"/>
        </w:rPr>
        <w:t xml:space="preserve">, valuation reports, </w:t>
      </w:r>
      <w:r w:rsidR="008C4166">
        <w:rPr>
          <w:lang w:eastAsia="en-AU"/>
        </w:rPr>
        <w:t xml:space="preserve">relevant </w:t>
      </w:r>
      <w:r w:rsidR="00AA28A0">
        <w:rPr>
          <w:lang w:eastAsia="en-AU"/>
        </w:rPr>
        <w:t>internal audit reports</w:t>
      </w:r>
      <w:r w:rsidR="008C4166">
        <w:rPr>
          <w:lang w:eastAsia="en-AU"/>
        </w:rPr>
        <w:t xml:space="preserve"> etc.</w:t>
      </w:r>
    </w:p>
    <w:p w14:paraId="2A069A03" w14:textId="18279D26" w:rsidR="00704A93" w:rsidRPr="00704A93" w:rsidRDefault="00704A93" w:rsidP="00704A93">
      <w:pPr>
        <w:pStyle w:val="Heading2"/>
        <w:rPr>
          <w:lang w:eastAsia="en-AU"/>
        </w:rPr>
      </w:pPr>
      <w:bookmarkStart w:id="11" w:name="_Toc222755598"/>
      <w:r w:rsidRPr="00704A93">
        <w:rPr>
          <w:lang w:eastAsia="en-AU"/>
        </w:rPr>
        <w:t xml:space="preserve">Engage </w:t>
      </w:r>
      <w:r>
        <w:rPr>
          <w:lang w:eastAsia="en-AU"/>
        </w:rPr>
        <w:t>with a</w:t>
      </w:r>
      <w:r w:rsidRPr="00704A93">
        <w:rPr>
          <w:lang w:eastAsia="en-AU"/>
        </w:rPr>
        <w:t>uditors</w:t>
      </w:r>
      <w:bookmarkEnd w:id="11"/>
    </w:p>
    <w:p w14:paraId="5A4F24ED" w14:textId="4D546091" w:rsidR="00704A93" w:rsidRPr="00393820" w:rsidRDefault="00704A93" w:rsidP="00704A93">
      <w:pPr>
        <w:numPr>
          <w:ilvl w:val="0"/>
          <w:numId w:val="25"/>
        </w:numPr>
        <w:rPr>
          <w:i/>
          <w:iCs/>
          <w:lang w:eastAsia="en-AU"/>
        </w:rPr>
      </w:pPr>
      <w:r w:rsidRPr="00704A93">
        <w:rPr>
          <w:lang w:eastAsia="en-AU"/>
        </w:rPr>
        <w:t>Provide requested information and respond to queries</w:t>
      </w:r>
      <w:r w:rsidR="00C177D3">
        <w:rPr>
          <w:lang w:eastAsia="en-AU"/>
        </w:rPr>
        <w:t xml:space="preserve">. A proforma tracker is provided in </w:t>
      </w:r>
      <w:r w:rsidR="00C177D3" w:rsidRPr="00393820">
        <w:rPr>
          <w:i/>
          <w:iCs/>
          <w:lang w:eastAsia="en-AU"/>
        </w:rPr>
        <w:t>Appendix C – Audit Queries Tracker</w:t>
      </w:r>
      <w:r w:rsidR="00C177D3">
        <w:rPr>
          <w:i/>
          <w:iCs/>
          <w:lang w:eastAsia="en-AU"/>
        </w:rPr>
        <w:t>.</w:t>
      </w:r>
      <w:r w:rsidR="00C177D3">
        <w:rPr>
          <w:lang w:eastAsia="en-AU"/>
        </w:rPr>
        <w:t xml:space="preserve"> This tracker aims to ensure all audit issues and queries </w:t>
      </w:r>
      <w:r w:rsidR="0078573E">
        <w:rPr>
          <w:lang w:eastAsia="en-AU"/>
        </w:rPr>
        <w:t xml:space="preserve">raised by </w:t>
      </w:r>
      <w:r w:rsidR="00C177D3">
        <w:rPr>
          <w:lang w:eastAsia="en-AU"/>
        </w:rPr>
        <w:t xml:space="preserve">auditors through emails, phone calls, face to face conversations are comprehensively tracked in a </w:t>
      </w:r>
      <w:r w:rsidR="0078573E">
        <w:rPr>
          <w:lang w:eastAsia="en-AU"/>
        </w:rPr>
        <w:t xml:space="preserve">central log maintained by the agency. </w:t>
      </w:r>
      <w:r w:rsidR="00C177D3">
        <w:rPr>
          <w:lang w:eastAsia="en-AU"/>
        </w:rPr>
        <w:t xml:space="preserve">This tracker </w:t>
      </w:r>
      <w:r w:rsidR="0078573E">
        <w:rPr>
          <w:lang w:eastAsia="en-AU"/>
        </w:rPr>
        <w:t xml:space="preserve">could assist to achieve a more </w:t>
      </w:r>
      <w:r w:rsidR="00C177D3">
        <w:rPr>
          <w:lang w:eastAsia="en-AU"/>
        </w:rPr>
        <w:t xml:space="preserve">efficient audit process, </w:t>
      </w:r>
      <w:r w:rsidR="0078573E">
        <w:rPr>
          <w:lang w:eastAsia="en-AU"/>
        </w:rPr>
        <w:t xml:space="preserve">help </w:t>
      </w:r>
      <w:r w:rsidR="00C177D3">
        <w:rPr>
          <w:lang w:eastAsia="en-AU"/>
        </w:rPr>
        <w:t xml:space="preserve">prepare for the next audit period, </w:t>
      </w:r>
      <w:r w:rsidR="0078573E">
        <w:rPr>
          <w:lang w:eastAsia="en-AU"/>
        </w:rPr>
        <w:t>assist in providing the</w:t>
      </w:r>
      <w:r w:rsidR="00C177D3">
        <w:rPr>
          <w:lang w:eastAsia="en-AU"/>
        </w:rPr>
        <w:t xml:space="preserve"> responses to the management letter</w:t>
      </w:r>
      <w:r w:rsidR="0078573E">
        <w:rPr>
          <w:lang w:eastAsia="en-AU"/>
        </w:rPr>
        <w:t xml:space="preserve"> at completion of the audit</w:t>
      </w:r>
      <w:r w:rsidR="00C177D3">
        <w:rPr>
          <w:lang w:eastAsia="en-AU"/>
        </w:rPr>
        <w:t xml:space="preserve">, and </w:t>
      </w:r>
      <w:r w:rsidR="0078573E">
        <w:rPr>
          <w:lang w:eastAsia="en-AU"/>
        </w:rPr>
        <w:t xml:space="preserve">to track </w:t>
      </w:r>
      <w:r w:rsidR="00C177D3">
        <w:rPr>
          <w:lang w:eastAsia="en-AU"/>
        </w:rPr>
        <w:t xml:space="preserve">agency action items </w:t>
      </w:r>
      <w:r w:rsidR="0078573E">
        <w:rPr>
          <w:lang w:eastAsia="en-AU"/>
        </w:rPr>
        <w:t>post audit</w:t>
      </w:r>
      <w:r w:rsidR="00C177D3">
        <w:rPr>
          <w:lang w:eastAsia="en-AU"/>
        </w:rPr>
        <w:t>.</w:t>
      </w:r>
    </w:p>
    <w:p w14:paraId="5FA323AE" w14:textId="77777777" w:rsidR="00704A93" w:rsidRPr="00704A93" w:rsidRDefault="00704A93" w:rsidP="00704A93">
      <w:pPr>
        <w:numPr>
          <w:ilvl w:val="0"/>
          <w:numId w:val="25"/>
        </w:numPr>
        <w:rPr>
          <w:lang w:eastAsia="en-AU"/>
        </w:rPr>
      </w:pPr>
      <w:r w:rsidRPr="00704A93">
        <w:rPr>
          <w:lang w:eastAsia="en-AU"/>
        </w:rPr>
        <w:t>Review audit findings, draft management responses, and prepare remediation actions if required.</w:t>
      </w:r>
    </w:p>
    <w:p w14:paraId="7993F9C4" w14:textId="7FD1786D" w:rsidR="00704A93" w:rsidRDefault="00C57230" w:rsidP="00C57230">
      <w:pPr>
        <w:pStyle w:val="Heading2"/>
        <w:rPr>
          <w:lang w:eastAsia="en-AU"/>
        </w:rPr>
      </w:pPr>
      <w:bookmarkStart w:id="12" w:name="_Toc222755599"/>
      <w:r>
        <w:rPr>
          <w:lang w:eastAsia="en-AU"/>
        </w:rPr>
        <w:t>Finalise financial statements</w:t>
      </w:r>
      <w:bookmarkEnd w:id="12"/>
    </w:p>
    <w:p w14:paraId="58BA20A2" w14:textId="72CE2F44" w:rsidR="00C57230" w:rsidRDefault="00C57230" w:rsidP="00C57230">
      <w:pPr>
        <w:pStyle w:val="ListParagraph"/>
        <w:numPr>
          <w:ilvl w:val="0"/>
          <w:numId w:val="23"/>
        </w:numPr>
        <w:rPr>
          <w:lang w:eastAsia="en-AU"/>
        </w:rPr>
      </w:pPr>
      <w:r>
        <w:rPr>
          <w:lang w:eastAsia="en-AU"/>
        </w:rPr>
        <w:t xml:space="preserve">Obtain necessary </w:t>
      </w:r>
      <w:r w:rsidR="00107DA9">
        <w:rPr>
          <w:lang w:eastAsia="en-AU"/>
        </w:rPr>
        <w:t>approvals, including representation letters and financial statement sign-off</w:t>
      </w:r>
    </w:p>
    <w:p w14:paraId="42C918CF" w14:textId="082474AB" w:rsidR="00DF4114" w:rsidRDefault="00DF4114" w:rsidP="00C57230">
      <w:pPr>
        <w:pStyle w:val="ListParagraph"/>
        <w:numPr>
          <w:ilvl w:val="0"/>
          <w:numId w:val="23"/>
        </w:numPr>
        <w:rPr>
          <w:lang w:eastAsia="en-AU"/>
        </w:rPr>
      </w:pPr>
      <w:r>
        <w:rPr>
          <w:lang w:eastAsia="en-AU"/>
        </w:rPr>
        <w:t xml:space="preserve">Provide final statements to the Department of Treasury and </w:t>
      </w:r>
      <w:r w:rsidR="00954AA7">
        <w:rPr>
          <w:lang w:eastAsia="en-AU"/>
        </w:rPr>
        <w:t>Finance</w:t>
      </w:r>
      <w:r>
        <w:rPr>
          <w:lang w:eastAsia="en-AU"/>
        </w:rPr>
        <w:t xml:space="preserve"> </w:t>
      </w:r>
    </w:p>
    <w:p w14:paraId="696215DB" w14:textId="1BA987E0" w:rsidR="00C57230" w:rsidRDefault="00C57230" w:rsidP="00C57230">
      <w:pPr>
        <w:pStyle w:val="ListParagraph"/>
        <w:numPr>
          <w:ilvl w:val="0"/>
          <w:numId w:val="23"/>
        </w:numPr>
        <w:rPr>
          <w:lang w:eastAsia="en-AU"/>
        </w:rPr>
      </w:pPr>
      <w:r>
        <w:rPr>
          <w:lang w:eastAsia="en-AU"/>
        </w:rPr>
        <w:t xml:space="preserve">Liaise with appropriate staff to </w:t>
      </w:r>
      <w:r w:rsidR="00DF4114">
        <w:rPr>
          <w:lang w:eastAsia="en-AU"/>
        </w:rPr>
        <w:t>incorporat</w:t>
      </w:r>
      <w:r w:rsidR="009C3CF5">
        <w:rPr>
          <w:lang w:eastAsia="en-AU"/>
        </w:rPr>
        <w:t>e</w:t>
      </w:r>
      <w:r w:rsidR="00DF4114">
        <w:rPr>
          <w:lang w:eastAsia="en-AU"/>
        </w:rPr>
        <w:t xml:space="preserve"> </w:t>
      </w:r>
      <w:r w:rsidR="00107DA9">
        <w:rPr>
          <w:lang w:eastAsia="en-AU"/>
        </w:rPr>
        <w:t>financial</w:t>
      </w:r>
      <w:r>
        <w:rPr>
          <w:lang w:eastAsia="en-AU"/>
        </w:rPr>
        <w:t xml:space="preserve"> statements </w:t>
      </w:r>
      <w:r w:rsidR="00DF4114">
        <w:rPr>
          <w:lang w:eastAsia="en-AU"/>
        </w:rPr>
        <w:t xml:space="preserve">into the annual report and </w:t>
      </w:r>
      <w:r>
        <w:rPr>
          <w:lang w:eastAsia="en-AU"/>
        </w:rPr>
        <w:t xml:space="preserve">for </w:t>
      </w:r>
      <w:r w:rsidR="005E79AD">
        <w:rPr>
          <w:lang w:eastAsia="en-AU"/>
        </w:rPr>
        <w:t>online production</w:t>
      </w:r>
    </w:p>
    <w:p w14:paraId="3AB286F5" w14:textId="3EE36263" w:rsidR="00107DA9" w:rsidRPr="00704A93" w:rsidRDefault="00107DA9" w:rsidP="00C57230">
      <w:pPr>
        <w:pStyle w:val="ListParagraph"/>
        <w:numPr>
          <w:ilvl w:val="0"/>
          <w:numId w:val="23"/>
        </w:numPr>
        <w:rPr>
          <w:lang w:eastAsia="en-AU"/>
        </w:rPr>
      </w:pPr>
      <w:r>
        <w:rPr>
          <w:lang w:eastAsia="en-AU"/>
        </w:rPr>
        <w:t>Prepare necessary ministerial memorandums and legislative requirements to table financial statements in the Legislative Assembly</w:t>
      </w:r>
      <w:r w:rsidR="005E79AD">
        <w:rPr>
          <w:lang w:eastAsia="en-AU"/>
        </w:rPr>
        <w:t>.</w:t>
      </w:r>
    </w:p>
    <w:p w14:paraId="04A53E93" w14:textId="7D394E9A" w:rsidR="00DF73AC" w:rsidRDefault="00C04645" w:rsidP="00DF73AC">
      <w:pPr>
        <w:pStyle w:val="Heading1"/>
        <w:rPr>
          <w:lang w:eastAsia="en-AU"/>
        </w:rPr>
      </w:pPr>
      <w:bookmarkStart w:id="13" w:name="_Toc222755600"/>
      <w:r>
        <w:rPr>
          <w:lang w:eastAsia="en-AU"/>
        </w:rPr>
        <w:t>End of financial year reconciliations</w:t>
      </w:r>
      <w:bookmarkEnd w:id="13"/>
    </w:p>
    <w:p w14:paraId="072D8F6B" w14:textId="2CFA53F1" w:rsidR="00082E45" w:rsidRDefault="00FF43B4" w:rsidP="00315377">
      <w:pPr>
        <w:pStyle w:val="BodyText"/>
        <w:rPr>
          <w:lang w:eastAsia="en-AU"/>
        </w:rPr>
      </w:pPr>
      <w:r w:rsidRPr="00FF43B4">
        <w:rPr>
          <w:lang w:eastAsia="en-AU"/>
        </w:rPr>
        <w:t xml:space="preserve">End of financial year reconciliations ensure that an agency’s financial statements are accurate, complete and ready for audit and reporting. They serve as the final assurance before the agency’s financial results are signed off by the Accountable Officer and Chief Financial Officer. </w:t>
      </w:r>
    </w:p>
    <w:p w14:paraId="49AD1EAD" w14:textId="35D3C16B" w:rsidR="00FF43B4" w:rsidRDefault="00FF43B4" w:rsidP="00315377">
      <w:pPr>
        <w:pStyle w:val="BodyText"/>
        <w:rPr>
          <w:lang w:eastAsia="en-AU"/>
        </w:rPr>
      </w:pPr>
      <w:r>
        <w:rPr>
          <w:lang w:eastAsia="en-AU"/>
        </w:rPr>
        <w:t>The following outlines the process for undertaking end of financial year reconciliations.</w:t>
      </w:r>
    </w:p>
    <w:p w14:paraId="5C1BB419" w14:textId="77777777" w:rsidR="003E1235" w:rsidRDefault="003E1235" w:rsidP="00315377">
      <w:pPr>
        <w:pStyle w:val="BodyText"/>
        <w:rPr>
          <w:lang w:eastAsia="en-AU"/>
        </w:rPr>
      </w:pPr>
    </w:p>
    <w:p w14:paraId="7BE3F371" w14:textId="77777777" w:rsidR="003E1235" w:rsidRPr="00FF43B4" w:rsidRDefault="003E1235" w:rsidP="00315377">
      <w:pPr>
        <w:pStyle w:val="BodyText"/>
        <w:rPr>
          <w:lang w:eastAsia="en-AU"/>
        </w:rPr>
      </w:pPr>
    </w:p>
    <w:p w14:paraId="79E3BE8E" w14:textId="5B2DD904" w:rsidR="005777BB" w:rsidRPr="00C04645" w:rsidRDefault="00C04645" w:rsidP="00C04645">
      <w:pPr>
        <w:pStyle w:val="Heading2"/>
      </w:pPr>
      <w:bookmarkStart w:id="14" w:name="_Toc222755601"/>
      <w:r w:rsidRPr="00C04645">
        <w:lastRenderedPageBreak/>
        <w:t xml:space="preserve">Identify </w:t>
      </w:r>
      <w:r>
        <w:t xml:space="preserve">what needs to be </w:t>
      </w:r>
      <w:r w:rsidRPr="00C04645">
        <w:t>reconciled</w:t>
      </w:r>
      <w:bookmarkEnd w:id="14"/>
    </w:p>
    <w:p w14:paraId="0FF7B573" w14:textId="18E4BFA1" w:rsidR="00C04645" w:rsidRPr="003E1235" w:rsidRDefault="003377FE" w:rsidP="00C04645">
      <w:pPr>
        <w:pStyle w:val="BodyText"/>
      </w:pPr>
      <w:r w:rsidRPr="003E1235">
        <w:t>As a starting point and at a minimum, a</w:t>
      </w:r>
      <w:r w:rsidR="00C04645" w:rsidRPr="003E1235">
        <w:t xml:space="preserve"> reconciliation should be undertaken for each line item with a balance on the agency’s Operating</w:t>
      </w:r>
      <w:r w:rsidR="008A63F6" w:rsidRPr="003E1235">
        <w:t xml:space="preserve"> Statement</w:t>
      </w:r>
      <w:r w:rsidR="00C04645" w:rsidRPr="003E1235">
        <w:t xml:space="preserve"> and Balance Sheet financial statements </w:t>
      </w:r>
      <w:proofErr w:type="gramStart"/>
      <w:r w:rsidR="00C04645" w:rsidRPr="003E1235">
        <w:t>at</w:t>
      </w:r>
      <w:proofErr w:type="gramEnd"/>
      <w:r w:rsidR="00C04645" w:rsidRPr="003E1235">
        <w:t xml:space="preserve"> 30 June. </w:t>
      </w:r>
    </w:p>
    <w:p w14:paraId="7BE160FB" w14:textId="4D6AF8E5" w:rsidR="00C04645" w:rsidRPr="003E1235" w:rsidRDefault="00C04645" w:rsidP="00C04645">
      <w:pPr>
        <w:pStyle w:val="BodyText"/>
      </w:pPr>
      <w:r w:rsidRPr="003E1235">
        <w:t xml:space="preserve">Note: </w:t>
      </w:r>
      <w:r w:rsidR="00624C07" w:rsidRPr="003E1235">
        <w:t xml:space="preserve">In some instances, reconciliations have to be completed for balance sheet line items with nil balances </w:t>
      </w:r>
      <w:proofErr w:type="gramStart"/>
      <w:r w:rsidR="00624C07" w:rsidRPr="003E1235">
        <w:t>at</w:t>
      </w:r>
      <w:proofErr w:type="gramEnd"/>
      <w:r w:rsidR="00624C07" w:rsidRPr="003E1235">
        <w:t xml:space="preserve"> 30 June</w:t>
      </w:r>
      <w:r w:rsidR="00AA28A0" w:rsidRPr="003E1235">
        <w:t>, for example if</w:t>
      </w:r>
      <w:r w:rsidR="006D4826" w:rsidRPr="003E1235">
        <w:t xml:space="preserve"> </w:t>
      </w:r>
      <w:r w:rsidR="00624C07" w:rsidRPr="003E1235">
        <w:t>there was an opening balance at 1 July.</w:t>
      </w:r>
    </w:p>
    <w:p w14:paraId="311240C1" w14:textId="03C2A254" w:rsidR="005777BB" w:rsidRPr="003E1235" w:rsidRDefault="00C04645" w:rsidP="00C04645">
      <w:pPr>
        <w:pStyle w:val="BodyText"/>
      </w:pPr>
      <w:r w:rsidRPr="003E1235">
        <w:t xml:space="preserve">Reconciling at the </w:t>
      </w:r>
      <w:proofErr w:type="gramStart"/>
      <w:r w:rsidR="00E76421" w:rsidRPr="003E1235">
        <w:t>line item</w:t>
      </w:r>
      <w:proofErr w:type="gramEnd"/>
      <w:r w:rsidR="00E76421" w:rsidRPr="003E1235">
        <w:t xml:space="preserve"> </w:t>
      </w:r>
      <w:r w:rsidRPr="003E1235">
        <w:t>level (e.g.</w:t>
      </w:r>
      <w:r w:rsidR="0005159F" w:rsidRPr="003E1235">
        <w:t xml:space="preserve"> </w:t>
      </w:r>
      <w:r w:rsidRPr="003E1235">
        <w:t>Cash and Cash Equivalents, Accounts Payable</w:t>
      </w:r>
      <w:r w:rsidR="0005159F" w:rsidRPr="003E1235">
        <w:t>, Provisions</w:t>
      </w:r>
      <w:r w:rsidRPr="003E1235">
        <w:t>) instead of each individual general ledger account delivers the following advantages:</w:t>
      </w:r>
    </w:p>
    <w:p w14:paraId="49EDF87C" w14:textId="264C4CDF" w:rsidR="00C04645" w:rsidRPr="003E1235" w:rsidRDefault="00C04645" w:rsidP="00C04645">
      <w:pPr>
        <w:pStyle w:val="BodyText"/>
        <w:numPr>
          <w:ilvl w:val="0"/>
          <w:numId w:val="18"/>
        </w:numPr>
        <w:rPr>
          <w:rFonts w:asciiTheme="minorHAnsi" w:hAnsiTheme="minorHAnsi"/>
          <w:lang w:eastAsia="en-AU"/>
        </w:rPr>
      </w:pPr>
      <w:r w:rsidRPr="003E1235">
        <w:rPr>
          <w:rFonts w:asciiTheme="minorHAnsi" w:hAnsiTheme="minorHAnsi"/>
          <w:lang w:eastAsia="en-AU"/>
        </w:rPr>
        <w:t xml:space="preserve">Improves audit readiness since </w:t>
      </w:r>
      <w:r w:rsidR="00E76421" w:rsidRPr="003E1235">
        <w:rPr>
          <w:rFonts w:asciiTheme="minorHAnsi" w:hAnsiTheme="minorHAnsi"/>
          <w:lang w:eastAsia="en-AU"/>
        </w:rPr>
        <w:t>auditor’s</w:t>
      </w:r>
      <w:r w:rsidRPr="003E1235">
        <w:rPr>
          <w:rFonts w:asciiTheme="minorHAnsi" w:hAnsiTheme="minorHAnsi"/>
          <w:lang w:eastAsia="en-AU"/>
        </w:rPr>
        <w:t xml:space="preserve"> test </w:t>
      </w:r>
      <w:proofErr w:type="gramStart"/>
      <w:r w:rsidRPr="003E1235">
        <w:rPr>
          <w:rFonts w:asciiTheme="minorHAnsi" w:hAnsiTheme="minorHAnsi"/>
          <w:lang w:eastAsia="en-AU"/>
        </w:rPr>
        <w:t>line</w:t>
      </w:r>
      <w:r w:rsidR="00E76421" w:rsidRPr="003E1235">
        <w:rPr>
          <w:rFonts w:asciiTheme="minorHAnsi" w:hAnsiTheme="minorHAnsi"/>
          <w:lang w:eastAsia="en-AU"/>
        </w:rPr>
        <w:t xml:space="preserve"> </w:t>
      </w:r>
      <w:r w:rsidRPr="003E1235">
        <w:rPr>
          <w:rFonts w:asciiTheme="minorHAnsi" w:hAnsiTheme="minorHAnsi"/>
          <w:lang w:eastAsia="en-AU"/>
        </w:rPr>
        <w:t>item</w:t>
      </w:r>
      <w:proofErr w:type="gramEnd"/>
      <w:r w:rsidRPr="003E1235">
        <w:rPr>
          <w:rFonts w:asciiTheme="minorHAnsi" w:hAnsiTheme="minorHAnsi"/>
          <w:lang w:eastAsia="en-AU"/>
        </w:rPr>
        <w:t xml:space="preserve"> assertions (existence, completeness, accuracy), not individual chart</w:t>
      </w:r>
      <w:r w:rsidRPr="003E1235">
        <w:rPr>
          <w:rFonts w:asciiTheme="minorHAnsi" w:hAnsiTheme="minorHAnsi"/>
          <w:lang w:eastAsia="en-AU"/>
        </w:rPr>
        <w:noBreakHyphen/>
        <w:t>of</w:t>
      </w:r>
      <w:r w:rsidRPr="003E1235">
        <w:rPr>
          <w:rFonts w:asciiTheme="minorHAnsi" w:hAnsiTheme="minorHAnsi"/>
          <w:lang w:eastAsia="en-AU"/>
        </w:rPr>
        <w:noBreakHyphen/>
        <w:t>account elements</w:t>
      </w:r>
    </w:p>
    <w:p w14:paraId="49627D25" w14:textId="77777777" w:rsidR="00C04645" w:rsidRPr="003E1235" w:rsidRDefault="00C04645" w:rsidP="00C04645">
      <w:pPr>
        <w:pStyle w:val="BodyText"/>
        <w:numPr>
          <w:ilvl w:val="0"/>
          <w:numId w:val="18"/>
        </w:numPr>
        <w:rPr>
          <w:rFonts w:asciiTheme="minorHAnsi" w:hAnsiTheme="minorHAnsi" w:cs="Segoe UI"/>
          <w:lang w:eastAsia="en-AU"/>
        </w:rPr>
      </w:pPr>
      <w:r w:rsidRPr="003E1235">
        <w:rPr>
          <w:rFonts w:asciiTheme="minorHAnsi" w:hAnsiTheme="minorHAnsi" w:cs="Segoe UI"/>
          <w:lang w:eastAsia="en-AU"/>
        </w:rPr>
        <w:t xml:space="preserve">Reduces risk of missed material errors because the entire reportable line item is reconciled, not just its components, and allows for materiality assessments </w:t>
      </w:r>
    </w:p>
    <w:p w14:paraId="6267D4F3" w14:textId="77777777" w:rsidR="00C04645" w:rsidRPr="003E1235" w:rsidRDefault="00C04645" w:rsidP="00C04645">
      <w:pPr>
        <w:pStyle w:val="BodyText"/>
        <w:numPr>
          <w:ilvl w:val="0"/>
          <w:numId w:val="18"/>
        </w:numPr>
        <w:rPr>
          <w:rFonts w:asciiTheme="minorHAnsi" w:hAnsiTheme="minorHAnsi" w:cs="Segoe UI"/>
          <w:lang w:eastAsia="en-AU"/>
        </w:rPr>
      </w:pPr>
      <w:r w:rsidRPr="003E1235">
        <w:rPr>
          <w:rFonts w:asciiTheme="minorHAnsi" w:hAnsiTheme="minorHAnsi" w:cs="Segoe UI"/>
          <w:lang w:eastAsia="en-AU"/>
        </w:rPr>
        <w:t>Fewer reconciliations to prepare, review, and store, especially in large charts of accounts, reducing administrative burden.</w:t>
      </w:r>
    </w:p>
    <w:p w14:paraId="0919C4EE" w14:textId="662E6BE1" w:rsidR="00AA28A0" w:rsidRPr="0005159F" w:rsidRDefault="00AA28A0" w:rsidP="00266B33">
      <w:pPr>
        <w:pStyle w:val="BodyText"/>
        <w:rPr>
          <w:rFonts w:asciiTheme="minorHAnsi" w:hAnsiTheme="minorHAnsi" w:cs="Segoe UI"/>
          <w:lang w:eastAsia="en-AU"/>
        </w:rPr>
      </w:pPr>
      <w:r w:rsidRPr="003E1235">
        <w:rPr>
          <w:rFonts w:asciiTheme="minorHAnsi" w:hAnsiTheme="minorHAnsi" w:cs="Segoe UI"/>
          <w:lang w:eastAsia="en-AU"/>
        </w:rPr>
        <w:t xml:space="preserve">However, there are instances, where reconciliations may need to be prepared at a lower level, depending on the specific agency, and the transactions that take place in that agency.  </w:t>
      </w:r>
      <w:r w:rsidR="00403A53" w:rsidRPr="003E1235">
        <w:rPr>
          <w:rFonts w:asciiTheme="minorHAnsi" w:hAnsiTheme="minorHAnsi" w:cs="Segoe UI"/>
          <w:lang w:eastAsia="en-AU"/>
        </w:rPr>
        <w:t xml:space="preserve">Further, some reconciliations will need to be done at lower levels to agree to the notes in the agency financial statements, for example by class of assets, rather than at Property, Plant and Equipment line.  </w:t>
      </w:r>
      <w:r w:rsidRPr="003E1235">
        <w:rPr>
          <w:rFonts w:asciiTheme="minorHAnsi" w:hAnsiTheme="minorHAnsi" w:cs="Segoe UI"/>
          <w:lang w:eastAsia="en-AU"/>
        </w:rPr>
        <w:t>Auditors may ask for information at posting level</w:t>
      </w:r>
      <w:r w:rsidR="00486EEB" w:rsidRPr="003E1235">
        <w:rPr>
          <w:rFonts w:asciiTheme="minorHAnsi" w:hAnsiTheme="minorHAnsi" w:cs="Segoe UI"/>
          <w:lang w:eastAsia="en-AU"/>
        </w:rPr>
        <w:t xml:space="preserve"> account</w:t>
      </w:r>
      <w:r w:rsidR="00403A53" w:rsidRPr="003E1235">
        <w:rPr>
          <w:rFonts w:asciiTheme="minorHAnsi" w:hAnsiTheme="minorHAnsi" w:cs="Segoe UI"/>
          <w:lang w:eastAsia="en-AU"/>
        </w:rPr>
        <w:t>s.</w:t>
      </w:r>
    </w:p>
    <w:p w14:paraId="008ACD77" w14:textId="3FBCF17F" w:rsidR="00C04645" w:rsidRDefault="00C04645" w:rsidP="00C04645">
      <w:pPr>
        <w:pStyle w:val="Heading2"/>
      </w:pPr>
      <w:r>
        <w:t xml:space="preserve"> </w:t>
      </w:r>
      <w:bookmarkStart w:id="15" w:name="_Toc222755602"/>
      <w:r>
        <w:t>Gather the necessary information</w:t>
      </w:r>
      <w:bookmarkEnd w:id="15"/>
      <w:r>
        <w:t xml:space="preserve"> </w:t>
      </w:r>
      <w:r>
        <w:tab/>
      </w:r>
    </w:p>
    <w:p w14:paraId="069EDF16" w14:textId="67D2F0ED" w:rsidR="00C04645" w:rsidRPr="00C04645" w:rsidRDefault="00C04645" w:rsidP="00C04645">
      <w:pPr>
        <w:shd w:val="clear" w:color="auto" w:fill="FFFFFF"/>
        <w:spacing w:beforeAutospacing="1" w:after="0" w:afterAutospacing="1"/>
      </w:pPr>
      <w:r>
        <w:t xml:space="preserve">Collect the required information for each reconciliation to be undertaken. </w:t>
      </w:r>
      <w:r w:rsidRPr="00C04645">
        <w:t xml:space="preserve">This includes </w:t>
      </w:r>
      <w:r>
        <w:t>source documents such as from</w:t>
      </w:r>
      <w:r w:rsidRPr="00C04645">
        <w:t> </w:t>
      </w:r>
      <w:r w:rsidR="0087667F">
        <w:t>GA</w:t>
      </w:r>
      <w:r w:rsidR="00896D2D">
        <w:t>S</w:t>
      </w:r>
      <w:r w:rsidR="0087667F">
        <w:t xml:space="preserve">/BOXI, </w:t>
      </w:r>
      <w:r>
        <w:t xml:space="preserve">APEX </w:t>
      </w:r>
      <w:r w:rsidRPr="00C04645">
        <w:t>and any supporting documents</w:t>
      </w:r>
      <w:r>
        <w:t xml:space="preserve"> to verify the composition of the balance </w:t>
      </w:r>
      <w:r w:rsidRPr="00C04645">
        <w:t>such as bank statements, payment records</w:t>
      </w:r>
      <w:r>
        <w:t xml:space="preserve"> or invoices, PIPS reports or reports from </w:t>
      </w:r>
      <w:r w:rsidR="0087667F">
        <w:t xml:space="preserve">other </w:t>
      </w:r>
      <w:r>
        <w:t>external</w:t>
      </w:r>
      <w:r w:rsidR="006634C6">
        <w:t xml:space="preserve">/non-interfacing </w:t>
      </w:r>
      <w:r>
        <w:t>systems.</w:t>
      </w:r>
      <w:r w:rsidR="00AA28A0">
        <w:t xml:space="preserve">  </w:t>
      </w:r>
      <w:r w:rsidR="00AA28A0" w:rsidRPr="003E1235">
        <w:t>Be aware that GAS, BOXI and APEX all derive their information from the same source, GAS, so comparing GAS to BOXI is comparing the same information to itself and therefore not a reconciliation.</w:t>
      </w:r>
      <w:r w:rsidR="006D4826" w:rsidRPr="003E1235">
        <w:t xml:space="preserve">  The only instance a variance between GAS/BOXI and APEX will exist</w:t>
      </w:r>
      <w:r w:rsidR="00FD074C" w:rsidRPr="003E1235">
        <w:t xml:space="preserve"> is when Period 14 adjustments have been processed. These adjustments do not interface with GAS/BOXI and will need to be manually replicated.</w:t>
      </w:r>
      <w:r w:rsidR="00FD074C">
        <w:t xml:space="preserve"> </w:t>
      </w:r>
    </w:p>
    <w:p w14:paraId="78D9346B" w14:textId="4ADD43B5" w:rsidR="00C04645" w:rsidRDefault="00C04645" w:rsidP="00C04645">
      <w:pPr>
        <w:pStyle w:val="Heading2"/>
      </w:pPr>
      <w:bookmarkStart w:id="16" w:name="_Toc222755603"/>
      <w:r>
        <w:t xml:space="preserve">Investigate </w:t>
      </w:r>
      <w:r w:rsidR="00E76421">
        <w:t>and resolve</w:t>
      </w:r>
      <w:r>
        <w:t xml:space="preserve"> d</w:t>
      </w:r>
      <w:r w:rsidR="00E76421">
        <w:t>iscrepancies</w:t>
      </w:r>
      <w:bookmarkEnd w:id="16"/>
    </w:p>
    <w:p w14:paraId="0374C43C" w14:textId="04A1C704" w:rsidR="00E76421" w:rsidRDefault="00B10820" w:rsidP="00393820">
      <w:r w:rsidRPr="00B10820">
        <w:t xml:space="preserve">Commence the reconciliation process by comparing the GAS/BOXI/APEX balance to source documents.  Identify the cause of any discrepancy and </w:t>
      </w:r>
      <w:r>
        <w:t>post</w:t>
      </w:r>
      <w:r w:rsidRPr="00B10820">
        <w:t xml:space="preserve"> the necessary journal entry adjustments to the general ledger account within the Period 14 window. This may involve adding or removing transactions, correcting errors, or updating balances</w:t>
      </w:r>
      <w:r w:rsidR="00F07D6C">
        <w:t>.</w:t>
      </w:r>
    </w:p>
    <w:p w14:paraId="3855A78F" w14:textId="43663E01" w:rsidR="00E76421" w:rsidRPr="00E76421" w:rsidRDefault="00DA1601" w:rsidP="00DA1601">
      <w:pPr>
        <w:pStyle w:val="Heading2"/>
      </w:pPr>
      <w:bookmarkStart w:id="17" w:name="_Toc222755604"/>
      <w:r>
        <w:t>Complete reconciliation</w:t>
      </w:r>
      <w:r w:rsidR="00486EEB">
        <w:t>s</w:t>
      </w:r>
      <w:bookmarkEnd w:id="17"/>
    </w:p>
    <w:p w14:paraId="710E2456" w14:textId="37D58E77" w:rsidR="00C14069" w:rsidRDefault="00DA1601" w:rsidP="00E76421">
      <w:r>
        <w:t xml:space="preserve">Update the reconciliation </w:t>
      </w:r>
      <w:r w:rsidR="00B96021">
        <w:t xml:space="preserve">working papers </w:t>
      </w:r>
      <w:r>
        <w:t xml:space="preserve">for any adjustments, ensuring the general ledger matches </w:t>
      </w:r>
      <w:r w:rsidR="00305430">
        <w:t xml:space="preserve">with the </w:t>
      </w:r>
      <w:r>
        <w:t>supporting documents. Progress for review and sign-off</w:t>
      </w:r>
      <w:r w:rsidR="00621507">
        <w:t xml:space="preserve"> </w:t>
      </w:r>
      <w:r w:rsidR="00305430">
        <w:t xml:space="preserve">of the CFO or equivalent, </w:t>
      </w:r>
      <w:r w:rsidR="00621507">
        <w:t>prior to the end of Period 14.</w:t>
      </w:r>
    </w:p>
    <w:p w14:paraId="7C1E7759" w14:textId="71EBC0A9" w:rsidR="00E76421" w:rsidRDefault="00C14069" w:rsidP="00E76421">
      <w:r>
        <w:br w:type="page"/>
      </w:r>
    </w:p>
    <w:p w14:paraId="741C2161" w14:textId="1B1CB813" w:rsidR="009C3CF5" w:rsidRDefault="009C3CF5" w:rsidP="009C3CF5">
      <w:pPr>
        <w:pStyle w:val="Heading1"/>
      </w:pPr>
      <w:bookmarkStart w:id="18" w:name="_Toc222755605"/>
      <w:r>
        <w:lastRenderedPageBreak/>
        <w:t>Analytical review</w:t>
      </w:r>
      <w:bookmarkEnd w:id="18"/>
    </w:p>
    <w:p w14:paraId="65AA0091" w14:textId="65DA9038" w:rsidR="009C3CF5" w:rsidRDefault="009C3CF5" w:rsidP="009C3CF5">
      <w:r>
        <w:t xml:space="preserve">Analytical review is the process of comparing the financial results to expectations and prior periods to identify unusual movements, trends or inconsistencies that require investigation. </w:t>
      </w:r>
      <w:r w:rsidR="00F0175E">
        <w:t xml:space="preserve">Analytical review acts as a reasonableness check and </w:t>
      </w:r>
      <w:r>
        <w:t>is a key assurance activity used by both management and auditors.</w:t>
      </w:r>
      <w:r w:rsidR="00152CA1" w:rsidRPr="00393820">
        <w:rPr>
          <w:lang w:eastAsia="en-AU"/>
        </w:rPr>
        <w:t xml:space="preserve"> A </w:t>
      </w:r>
      <w:r w:rsidR="00F07D6C" w:rsidRPr="00393820">
        <w:rPr>
          <w:lang w:eastAsia="en-AU"/>
        </w:rPr>
        <w:t xml:space="preserve">proforma </w:t>
      </w:r>
      <w:r w:rsidR="00152CA1" w:rsidRPr="00393820">
        <w:rPr>
          <w:lang w:eastAsia="en-AU"/>
        </w:rPr>
        <w:t xml:space="preserve">template for analytical </w:t>
      </w:r>
      <w:r w:rsidR="00AD004A" w:rsidRPr="00393820">
        <w:rPr>
          <w:lang w:eastAsia="en-AU"/>
        </w:rPr>
        <w:t xml:space="preserve">review </w:t>
      </w:r>
      <w:r w:rsidR="00152CA1" w:rsidRPr="00393820">
        <w:rPr>
          <w:lang w:eastAsia="en-AU"/>
        </w:rPr>
        <w:t xml:space="preserve">is </w:t>
      </w:r>
      <w:r w:rsidR="00152CA1" w:rsidRPr="00865871">
        <w:rPr>
          <w:lang w:eastAsia="en-AU"/>
        </w:rPr>
        <w:t xml:space="preserve">incorporated in </w:t>
      </w:r>
      <w:r w:rsidR="00152CA1" w:rsidRPr="00865871">
        <w:rPr>
          <w:i/>
          <w:iCs/>
          <w:lang w:eastAsia="en-AU"/>
        </w:rPr>
        <w:t xml:space="preserve">Appendix </w:t>
      </w:r>
      <w:r w:rsidR="00AD004A" w:rsidRPr="00865871">
        <w:rPr>
          <w:i/>
          <w:iCs/>
          <w:lang w:eastAsia="en-AU"/>
        </w:rPr>
        <w:t>D</w:t>
      </w:r>
      <w:r w:rsidR="0078573E" w:rsidRPr="00865871">
        <w:rPr>
          <w:i/>
          <w:iCs/>
          <w:lang w:eastAsia="en-AU"/>
        </w:rPr>
        <w:t xml:space="preserve"> –</w:t>
      </w:r>
      <w:r w:rsidR="00152CA1" w:rsidRPr="00865871">
        <w:rPr>
          <w:i/>
          <w:iCs/>
          <w:lang w:eastAsia="en-AU"/>
        </w:rPr>
        <w:t xml:space="preserve"> </w:t>
      </w:r>
      <w:r w:rsidR="0078573E" w:rsidRPr="00865871">
        <w:rPr>
          <w:i/>
          <w:iCs/>
          <w:lang w:eastAsia="en-AU"/>
        </w:rPr>
        <w:t>Analytical Review Template</w:t>
      </w:r>
      <w:r w:rsidR="000963B7" w:rsidRPr="00865871">
        <w:rPr>
          <w:i/>
          <w:iCs/>
          <w:lang w:eastAsia="en-AU"/>
        </w:rPr>
        <w:t>.</w:t>
      </w:r>
    </w:p>
    <w:p w14:paraId="7AEDEF15" w14:textId="6341D5CD" w:rsidR="00F0175E" w:rsidRDefault="00F0175E" w:rsidP="009C3CF5">
      <w:r>
        <w:t xml:space="preserve">Benefits of analytical </w:t>
      </w:r>
      <w:r w:rsidR="00AD004A">
        <w:t>review are as follow:</w:t>
      </w:r>
    </w:p>
    <w:p w14:paraId="69A63EB6" w14:textId="6FB40870" w:rsidR="00F0175E" w:rsidRDefault="00AD004A" w:rsidP="00F0175E">
      <w:pPr>
        <w:pStyle w:val="ListParagraph"/>
        <w:numPr>
          <w:ilvl w:val="0"/>
          <w:numId w:val="41"/>
        </w:numPr>
      </w:pPr>
      <w:r>
        <w:t xml:space="preserve">helps </w:t>
      </w:r>
      <w:r w:rsidR="00F0175E">
        <w:t>detect errors and misstatements early, reducing risk of audit adjustments. Large and unusual balances often highlight:</w:t>
      </w:r>
    </w:p>
    <w:p w14:paraId="2654E836" w14:textId="747C9E47" w:rsidR="00F0175E" w:rsidRPr="00F0175E" w:rsidRDefault="00F0175E" w:rsidP="00F0175E">
      <w:pPr>
        <w:pStyle w:val="ListParagraph"/>
        <w:numPr>
          <w:ilvl w:val="1"/>
          <w:numId w:val="23"/>
        </w:numPr>
        <w:rPr>
          <w:lang w:eastAsia="en-AU"/>
        </w:rPr>
      </w:pPr>
      <w:r w:rsidRPr="00F0175E">
        <w:rPr>
          <w:lang w:eastAsia="en-AU"/>
        </w:rPr>
        <w:t xml:space="preserve">incorrect journal entries </w:t>
      </w:r>
    </w:p>
    <w:p w14:paraId="225D180A" w14:textId="68B4B143" w:rsidR="00F0175E" w:rsidRPr="00F0175E" w:rsidRDefault="00F0175E" w:rsidP="00F0175E">
      <w:pPr>
        <w:pStyle w:val="ListParagraph"/>
        <w:numPr>
          <w:ilvl w:val="1"/>
          <w:numId w:val="23"/>
        </w:numPr>
        <w:rPr>
          <w:lang w:eastAsia="en-AU"/>
        </w:rPr>
      </w:pPr>
      <w:r w:rsidRPr="00F0175E">
        <w:rPr>
          <w:lang w:eastAsia="en-AU"/>
        </w:rPr>
        <w:t>mis</w:t>
      </w:r>
      <w:r w:rsidR="00AD004A">
        <w:rPr>
          <w:lang w:eastAsia="en-AU"/>
        </w:rPr>
        <w:t>categorised</w:t>
      </w:r>
      <w:r w:rsidRPr="00F0175E">
        <w:rPr>
          <w:lang w:eastAsia="en-AU"/>
        </w:rPr>
        <w:t xml:space="preserve"> transactions </w:t>
      </w:r>
    </w:p>
    <w:p w14:paraId="687008DA" w14:textId="69907685" w:rsidR="00F0175E" w:rsidRPr="00F0175E" w:rsidRDefault="00F0175E" w:rsidP="00F0175E">
      <w:pPr>
        <w:pStyle w:val="ListParagraph"/>
        <w:numPr>
          <w:ilvl w:val="1"/>
          <w:numId w:val="23"/>
        </w:numPr>
        <w:rPr>
          <w:lang w:eastAsia="en-AU"/>
        </w:rPr>
      </w:pPr>
      <w:r w:rsidRPr="00F0175E">
        <w:rPr>
          <w:lang w:eastAsia="en-AU"/>
        </w:rPr>
        <w:t xml:space="preserve">missing accruals or prepayments </w:t>
      </w:r>
    </w:p>
    <w:p w14:paraId="2D108F81" w14:textId="235DBFB4" w:rsidR="00F0175E" w:rsidRPr="00F0175E" w:rsidRDefault="00F0175E" w:rsidP="00F0175E">
      <w:pPr>
        <w:pStyle w:val="ListParagraph"/>
        <w:numPr>
          <w:ilvl w:val="1"/>
          <w:numId w:val="23"/>
        </w:numPr>
        <w:rPr>
          <w:lang w:eastAsia="en-AU"/>
        </w:rPr>
      </w:pPr>
      <w:r w:rsidRPr="00F0175E">
        <w:rPr>
          <w:lang w:eastAsia="en-AU"/>
        </w:rPr>
        <w:t xml:space="preserve">revenue incorrectly recognised </w:t>
      </w:r>
    </w:p>
    <w:p w14:paraId="6F5E0873" w14:textId="264FE812" w:rsidR="00F0175E" w:rsidRDefault="00F0175E" w:rsidP="00F0175E">
      <w:pPr>
        <w:pStyle w:val="ListParagraph"/>
        <w:numPr>
          <w:ilvl w:val="1"/>
          <w:numId w:val="23"/>
        </w:numPr>
        <w:rPr>
          <w:lang w:eastAsia="en-AU"/>
        </w:rPr>
      </w:pPr>
      <w:r w:rsidRPr="00F0175E">
        <w:rPr>
          <w:lang w:eastAsia="en-AU"/>
        </w:rPr>
        <w:t>classification errors</w:t>
      </w:r>
    </w:p>
    <w:p w14:paraId="35990D15" w14:textId="4F843394" w:rsidR="00AD004A" w:rsidRPr="00F0175E" w:rsidRDefault="00AD004A" w:rsidP="00F0175E">
      <w:pPr>
        <w:pStyle w:val="ListParagraph"/>
        <w:numPr>
          <w:ilvl w:val="1"/>
          <w:numId w:val="23"/>
        </w:numPr>
        <w:rPr>
          <w:lang w:eastAsia="en-AU"/>
        </w:rPr>
      </w:pPr>
      <w:r>
        <w:rPr>
          <w:lang w:eastAsia="en-AU"/>
        </w:rPr>
        <w:t>extraordinary, non-recurring or exceptional items</w:t>
      </w:r>
    </w:p>
    <w:p w14:paraId="33940BDF" w14:textId="1BB1EC89" w:rsidR="00F0175E" w:rsidRDefault="00F0175E" w:rsidP="00F0175E">
      <w:pPr>
        <w:pStyle w:val="ListParagraph"/>
        <w:numPr>
          <w:ilvl w:val="0"/>
          <w:numId w:val="41"/>
        </w:numPr>
      </w:pPr>
      <w:r>
        <w:t xml:space="preserve">supports </w:t>
      </w:r>
      <w:r w:rsidR="00D260DC">
        <w:t xml:space="preserve">compliance and </w:t>
      </w:r>
      <w:r>
        <w:t xml:space="preserve">audit requirements </w:t>
      </w:r>
    </w:p>
    <w:p w14:paraId="257CACAF" w14:textId="30D2864D" w:rsidR="00F0175E" w:rsidRDefault="00F0175E" w:rsidP="00F0175E">
      <w:pPr>
        <w:pStyle w:val="ListParagraph"/>
        <w:numPr>
          <w:ilvl w:val="1"/>
          <w:numId w:val="41"/>
        </w:numPr>
      </w:pPr>
      <w:r>
        <w:t>auditors receive clear explanations</w:t>
      </w:r>
    </w:p>
    <w:p w14:paraId="4A35F54D" w14:textId="79E21C35" w:rsidR="00F0175E" w:rsidRDefault="00F0175E" w:rsidP="00F0175E">
      <w:pPr>
        <w:pStyle w:val="ListParagraph"/>
        <w:numPr>
          <w:ilvl w:val="1"/>
          <w:numId w:val="41"/>
        </w:numPr>
      </w:pPr>
      <w:r>
        <w:t>reduces volume of audit queries</w:t>
      </w:r>
    </w:p>
    <w:p w14:paraId="2D808630" w14:textId="07C7D559" w:rsidR="00F0175E" w:rsidRDefault="00F0175E" w:rsidP="00F0175E">
      <w:pPr>
        <w:pStyle w:val="ListParagraph"/>
        <w:numPr>
          <w:ilvl w:val="1"/>
          <w:numId w:val="41"/>
        </w:numPr>
      </w:pPr>
      <w:r>
        <w:t xml:space="preserve">results in a </w:t>
      </w:r>
      <w:r w:rsidR="00AD004A">
        <w:t xml:space="preserve">more efficient </w:t>
      </w:r>
      <w:r>
        <w:t>audit process</w:t>
      </w:r>
    </w:p>
    <w:p w14:paraId="77FC7CB8" w14:textId="35CFEF6F" w:rsidR="00F0175E" w:rsidRDefault="00F0175E" w:rsidP="00F0175E">
      <w:pPr>
        <w:pStyle w:val="ListParagraph"/>
        <w:numPr>
          <w:ilvl w:val="0"/>
          <w:numId w:val="41"/>
        </w:numPr>
      </w:pPr>
      <w:r>
        <w:t>confirms the integrity of financial statement line items</w:t>
      </w:r>
    </w:p>
    <w:p w14:paraId="666E97E4" w14:textId="56CE831B" w:rsidR="00F0175E" w:rsidRDefault="00F0175E" w:rsidP="00F0175E">
      <w:pPr>
        <w:pStyle w:val="ListParagraph"/>
        <w:numPr>
          <w:ilvl w:val="1"/>
          <w:numId w:val="41"/>
        </w:numPr>
      </w:pPr>
      <w:r>
        <w:t>validates whether balances make sense when compared to operational activity, budget expectations and prior year trends</w:t>
      </w:r>
    </w:p>
    <w:p w14:paraId="51EE5243" w14:textId="3DA0E75E" w:rsidR="00F0175E" w:rsidRDefault="00F0175E" w:rsidP="00F0175E">
      <w:pPr>
        <w:pStyle w:val="ListParagraph"/>
        <w:numPr>
          <w:ilvl w:val="0"/>
          <w:numId w:val="41"/>
        </w:numPr>
      </w:pPr>
      <w:r>
        <w:t>supports decision making</w:t>
      </w:r>
    </w:p>
    <w:p w14:paraId="7A27EFA6" w14:textId="0B7B01BC" w:rsidR="00F0175E" w:rsidRDefault="00F0175E" w:rsidP="00F0175E">
      <w:pPr>
        <w:pStyle w:val="ListParagraph"/>
        <w:numPr>
          <w:ilvl w:val="1"/>
          <w:numId w:val="41"/>
        </w:numPr>
      </w:pPr>
      <w:r>
        <w:t xml:space="preserve">provides </w:t>
      </w:r>
      <w:r w:rsidR="00D260DC">
        <w:t>executive</w:t>
      </w:r>
      <w:r>
        <w:t xml:space="preserve"> and governance committees with explanations for what has changed, why it changed and what it means for future planning. </w:t>
      </w:r>
    </w:p>
    <w:p w14:paraId="42DBB5A2" w14:textId="6C87937F" w:rsidR="009C3CF5" w:rsidRDefault="009C3CF5" w:rsidP="009C3CF5">
      <w:r>
        <w:t xml:space="preserve">The two </w:t>
      </w:r>
      <w:r w:rsidR="00D260DC">
        <w:t xml:space="preserve">primary </w:t>
      </w:r>
      <w:r>
        <w:t xml:space="preserve">forms of analytical review </w:t>
      </w:r>
      <w:r w:rsidR="00A05D2C">
        <w:t xml:space="preserve">that should be undertaken </w:t>
      </w:r>
      <w:r>
        <w:t>include:</w:t>
      </w:r>
    </w:p>
    <w:p w14:paraId="32EE249C" w14:textId="16AFB009" w:rsidR="009C3CF5" w:rsidRDefault="009C3CF5" w:rsidP="009C3CF5">
      <w:pPr>
        <w:pStyle w:val="ListParagraph"/>
        <w:numPr>
          <w:ilvl w:val="0"/>
          <w:numId w:val="37"/>
        </w:numPr>
      </w:pPr>
      <w:r>
        <w:t>Budget vs Actual analysis</w:t>
      </w:r>
    </w:p>
    <w:p w14:paraId="5C4E61A4" w14:textId="60C9B7AB" w:rsidR="009C3CF5" w:rsidRDefault="009C3CF5" w:rsidP="009C3CF5">
      <w:pPr>
        <w:pStyle w:val="ListParagraph"/>
        <w:numPr>
          <w:ilvl w:val="0"/>
          <w:numId w:val="37"/>
        </w:numPr>
      </w:pPr>
      <w:r>
        <w:t xml:space="preserve">Actual vs Actual </w:t>
      </w:r>
      <w:r w:rsidR="00540F83">
        <w:t>analysis</w:t>
      </w:r>
    </w:p>
    <w:p w14:paraId="4A8AF375" w14:textId="5709626F" w:rsidR="00994F20" w:rsidRDefault="00994F20" w:rsidP="009C3CF5">
      <w:pPr>
        <w:pStyle w:val="Heading2"/>
      </w:pPr>
      <w:bookmarkStart w:id="19" w:name="_Toc222755606"/>
      <w:r>
        <w:t>Setting materiality thresholds ($$ and/or %)</w:t>
      </w:r>
      <w:bookmarkEnd w:id="19"/>
    </w:p>
    <w:p w14:paraId="5C3A24A2" w14:textId="0DDC7309" w:rsidR="00664211" w:rsidRPr="00994F20" w:rsidRDefault="00664211" w:rsidP="00664211">
      <w:r>
        <w:t>Setting materiality thresholds prevents reviewers, stakeholders, and auditors from focusing on immaterial details, thus saving time and resources. This also guides the review and external audit process. Having a materiality threshold ensures that there will be no errors or variances against prior years or budgets that are significant enough to affect a stakeholder’s decision. And if there are significant errors or variances, they can be identified and corrected in a timely manner.</w:t>
      </w:r>
    </w:p>
    <w:p w14:paraId="0211530D" w14:textId="77777777" w:rsidR="003E1235" w:rsidRDefault="00994F20" w:rsidP="003E1235">
      <w:r>
        <w:t xml:space="preserve">Setting materiality thresholds </w:t>
      </w:r>
      <w:r w:rsidR="00CF769B">
        <w:t>during the analytical review process is agency specific.</w:t>
      </w:r>
      <w:r>
        <w:t xml:space="preserve"> </w:t>
      </w:r>
      <w:r w:rsidR="00CF769B">
        <w:t xml:space="preserve">The process involves </w:t>
      </w:r>
      <w:r>
        <w:t xml:space="preserve">determining the agency’s level of tolerance for potential misstatements in consideration of how these potential misstatements could influence stakeholder decisions.  </w:t>
      </w:r>
    </w:p>
    <w:p w14:paraId="18B82188" w14:textId="77777777" w:rsidR="00C14069" w:rsidRDefault="00C14069">
      <w:r>
        <w:br w:type="page"/>
      </w:r>
    </w:p>
    <w:p w14:paraId="54D4C380" w14:textId="69FFE319" w:rsidR="00994F20" w:rsidRDefault="00994F20" w:rsidP="003E1235">
      <w:r>
        <w:lastRenderedPageBreak/>
        <w:t xml:space="preserve">The agency can choose their own financial benchmark by considering a relevant financial measure e.g. total assets, significant budget line items, total output or funding appropriations. </w:t>
      </w:r>
      <w:r w:rsidR="00A82BE4">
        <w:t>The agency can then assign a percentage to these benchmarks to determine the dollar value. The agency should also consider other qualitative characteristics for certain accounts and assign specific materiality thresholds for them, e.g. high risk or sensitive accounts, highly volatile cost growth or demand pressures, impact of unexpected events or disasters, stakeholder sensitivity to costs, etc.</w:t>
      </w:r>
      <w:r w:rsidR="00CF769B">
        <w:t xml:space="preserve"> The materiality threshold in the analytical review can be a dollar value or a combination of both the dollar value and a</w:t>
      </w:r>
      <w:r w:rsidR="00FC6D45">
        <w:t xml:space="preserve"> fixed </w:t>
      </w:r>
      <w:r w:rsidR="00CF769B">
        <w:t>percentage.</w:t>
      </w:r>
    </w:p>
    <w:p w14:paraId="13E7737A" w14:textId="132DE278" w:rsidR="00CF769B" w:rsidRDefault="00CF769B" w:rsidP="003E1235">
      <w:r>
        <w:t xml:space="preserve">Setting materiality thresholds in relation to </w:t>
      </w:r>
      <w:r w:rsidR="00FC6D45">
        <w:t xml:space="preserve">the compilation of </w:t>
      </w:r>
      <w:r>
        <w:t xml:space="preserve">note disclosures in the agency financial statements is a separate process and should refer to </w:t>
      </w:r>
      <w:r w:rsidR="00FC6D45">
        <w:t xml:space="preserve">the </w:t>
      </w:r>
      <w:r>
        <w:t xml:space="preserve">Treasurer’s Direction R2.1 and in particular, </w:t>
      </w:r>
      <w:r w:rsidRPr="003E1235">
        <w:rPr>
          <w:i/>
        </w:rPr>
        <w:t>Appendix A3 Agency GBD proforma financial statement – materiality assessment</w:t>
      </w:r>
      <w:r>
        <w:t>.</w:t>
      </w:r>
      <w:r w:rsidR="00FC6D45">
        <w:t xml:space="preserve"> This is also where the </w:t>
      </w:r>
      <w:r w:rsidR="00FC6D45" w:rsidRPr="003E1235">
        <w:rPr>
          <w:i/>
        </w:rPr>
        <w:t>Appendix B – Reconciliation and Note Workplan</w:t>
      </w:r>
      <w:r w:rsidR="00FC6D45">
        <w:t xml:space="preserve"> template can assist.</w:t>
      </w:r>
    </w:p>
    <w:p w14:paraId="32A67F9B" w14:textId="3DB16D88" w:rsidR="00FC6D45" w:rsidRDefault="00FC6D45" w:rsidP="003E1235">
      <w:r>
        <w:t>When agencies are setting their materiality thresholds, they should separately assess line items where materiality does not apply as per Treasurer’s Directions.</w:t>
      </w:r>
    </w:p>
    <w:p w14:paraId="635CBED9" w14:textId="18994223" w:rsidR="009C3CF5" w:rsidRDefault="009C3CF5" w:rsidP="009C3CF5">
      <w:pPr>
        <w:pStyle w:val="Heading2"/>
      </w:pPr>
      <w:bookmarkStart w:id="20" w:name="_Toc222755607"/>
      <w:r>
        <w:t>Budget vs Actual Analysis (</w:t>
      </w:r>
      <w:proofErr w:type="spellStart"/>
      <w:r>
        <w:t>BvA</w:t>
      </w:r>
      <w:proofErr w:type="spellEnd"/>
      <w:r>
        <w:t>)</w:t>
      </w:r>
      <w:bookmarkEnd w:id="20"/>
    </w:p>
    <w:p w14:paraId="2EA8AF60" w14:textId="33C12F72" w:rsidR="00B90BE7" w:rsidRDefault="00B90BE7" w:rsidP="00B90BE7">
      <w:pPr>
        <w:pStyle w:val="Heading3"/>
      </w:pPr>
      <w:bookmarkStart w:id="21" w:name="_Toc222755608"/>
      <w:r>
        <w:t>Approved (Original) Budget v Actual</w:t>
      </w:r>
      <w:bookmarkEnd w:id="21"/>
    </w:p>
    <w:p w14:paraId="3AFF1BB5" w14:textId="1066010D" w:rsidR="00B90BE7" w:rsidRPr="00B90BE7" w:rsidRDefault="00B90BE7" w:rsidP="009C3CF5">
      <w:r>
        <w:t xml:space="preserve">This analysis is a mandatory requirement as per </w:t>
      </w:r>
      <w:r w:rsidRPr="00B90BE7">
        <w:rPr>
          <w:i/>
          <w:iCs/>
        </w:rPr>
        <w:t>AASB 1055 Budgetary Reporting</w:t>
      </w:r>
      <w:r>
        <w:t xml:space="preserve"> and requires </w:t>
      </w:r>
      <w:r w:rsidRPr="00B90BE7">
        <w:t xml:space="preserve">that public sector entities disclose their original parliamentary presented budget and major variances from actual results within their financial statements. This requirement is included as a note in the template proforma financial statements. The original approved budget for an agency comprises of the budgeted financial statements as presented in the Territory’s Budget Paper No.3 </w:t>
      </w:r>
      <w:r w:rsidRPr="00B90BE7">
        <w:rPr>
          <w:i/>
          <w:iCs/>
        </w:rPr>
        <w:t>Agency Financial Statements</w:t>
      </w:r>
      <w:r w:rsidRPr="00B90BE7">
        <w:t xml:space="preserve"> for the same financial year</w:t>
      </w:r>
      <w:r>
        <w:t>.</w:t>
      </w:r>
    </w:p>
    <w:p w14:paraId="0D62D845" w14:textId="15460A20" w:rsidR="00B041BE" w:rsidRDefault="009C3CF5" w:rsidP="009C3CF5">
      <w:r>
        <w:t>This compares the actual results for the year with the approved budget</w:t>
      </w:r>
      <w:r w:rsidR="00A05D2C">
        <w:t xml:space="preserve"> and identifies whether spending and revenue aligned with planned expectations.  </w:t>
      </w:r>
    </w:p>
    <w:p w14:paraId="6D5D37CF" w14:textId="592A5466" w:rsidR="00A05D2C" w:rsidRDefault="00B90BE7" w:rsidP="009C3CF5">
      <w:r>
        <w:t xml:space="preserve">Original Budget </w:t>
      </w:r>
      <w:r w:rsidR="00A05D2C">
        <w:t>v</w:t>
      </w:r>
      <w:r>
        <w:t xml:space="preserve">ersus </w:t>
      </w:r>
      <w:r w:rsidR="00A05D2C">
        <w:t>A</w:t>
      </w:r>
      <w:r>
        <w:t>ctual</w:t>
      </w:r>
      <w:r w:rsidR="00A05D2C">
        <w:t xml:space="preserve"> analysis highlights:</w:t>
      </w:r>
    </w:p>
    <w:p w14:paraId="0B2CB84D" w14:textId="77777777" w:rsidR="00B90BE7" w:rsidRPr="00B90BE7" w:rsidRDefault="00B90BE7" w:rsidP="00B90BE7">
      <w:pPr>
        <w:pStyle w:val="ListParagraph"/>
        <w:numPr>
          <w:ilvl w:val="0"/>
          <w:numId w:val="62"/>
        </w:numPr>
        <w:rPr>
          <w:iCs w:val="0"/>
        </w:rPr>
      </w:pPr>
      <w:r w:rsidRPr="00B90BE7">
        <w:rPr>
          <w:iCs w:val="0"/>
        </w:rPr>
        <w:t>New Funding (Commonwealth and Territory policy decisions)</w:t>
      </w:r>
    </w:p>
    <w:p w14:paraId="4DA70E8E" w14:textId="77777777" w:rsidR="00B90BE7" w:rsidRPr="00B90BE7" w:rsidRDefault="00B90BE7" w:rsidP="00B90BE7">
      <w:pPr>
        <w:pStyle w:val="ListParagraph"/>
        <w:numPr>
          <w:ilvl w:val="0"/>
          <w:numId w:val="62"/>
        </w:numPr>
        <w:rPr>
          <w:iCs w:val="0"/>
        </w:rPr>
      </w:pPr>
      <w:r w:rsidRPr="00B90BE7">
        <w:rPr>
          <w:iCs w:val="0"/>
        </w:rPr>
        <w:t>Timing changes between years</w:t>
      </w:r>
    </w:p>
    <w:p w14:paraId="1CE63A5A" w14:textId="77777777" w:rsidR="00B90BE7" w:rsidRPr="00B90BE7" w:rsidRDefault="00B90BE7" w:rsidP="00B90BE7">
      <w:pPr>
        <w:pStyle w:val="ListParagraph"/>
        <w:numPr>
          <w:ilvl w:val="0"/>
          <w:numId w:val="62"/>
        </w:numPr>
      </w:pPr>
      <w:r w:rsidRPr="00B90BE7">
        <w:rPr>
          <w:iCs w:val="0"/>
        </w:rPr>
        <w:t>Categories of cost changes</w:t>
      </w:r>
    </w:p>
    <w:p w14:paraId="4645F9D0" w14:textId="0CCE6B73" w:rsidR="00B90BE7" w:rsidRDefault="00B90BE7" w:rsidP="00B90BE7">
      <w:pPr>
        <w:pStyle w:val="Heading3"/>
      </w:pPr>
      <w:bookmarkStart w:id="22" w:name="_Toc222755609"/>
      <w:r>
        <w:t>Final Approved Budget v Actual</w:t>
      </w:r>
      <w:bookmarkEnd w:id="22"/>
    </w:p>
    <w:p w14:paraId="2C735CF4" w14:textId="304223D7" w:rsidR="00B90BE7" w:rsidRDefault="00B90BE7" w:rsidP="00B90BE7">
      <w:r>
        <w:t>The Final Approved Budget represents the agency’s Revised Estimate</w:t>
      </w:r>
      <w:r w:rsidR="002C3790">
        <w:t xml:space="preserve"> (as </w:t>
      </w:r>
      <w:r w:rsidR="002C3790" w:rsidRPr="00B90BE7">
        <w:t xml:space="preserve">presented in the Territory’s Budget Paper No.3 </w:t>
      </w:r>
      <w:r w:rsidR="002C3790" w:rsidRPr="00B90BE7">
        <w:rPr>
          <w:i/>
          <w:iCs/>
        </w:rPr>
        <w:t>Agency Financial Statements</w:t>
      </w:r>
      <w:r w:rsidR="002C3790" w:rsidRPr="00B90BE7">
        <w:t xml:space="preserve"> for the </w:t>
      </w:r>
      <w:r w:rsidR="002C3790">
        <w:t xml:space="preserve">following </w:t>
      </w:r>
      <w:r w:rsidR="002C3790" w:rsidRPr="00B90BE7">
        <w:t>financial year</w:t>
      </w:r>
      <w:r w:rsidR="002C3790">
        <w:t>)</w:t>
      </w:r>
      <w:r>
        <w:t xml:space="preserve"> plus any end of year adjustments, such as Treasurer’s Advance</w:t>
      </w:r>
      <w:r w:rsidR="002C3790">
        <w:t xml:space="preserve">. </w:t>
      </w:r>
      <w:r>
        <w:t>This analysis is required to be provided to DTF each July as part of Treasurer’s Annual Financial Report preparation and comprises the main analysis that agencies provide in the analysis section of their respective annual reports.</w:t>
      </w:r>
    </w:p>
    <w:p w14:paraId="1BCE388F" w14:textId="7997F44D" w:rsidR="00B90BE7" w:rsidRDefault="00B90BE7" w:rsidP="00B90BE7">
      <w:r>
        <w:t>Final Approved Budget versus Actual analysis highlights:</w:t>
      </w:r>
    </w:p>
    <w:p w14:paraId="20E7FB03" w14:textId="77777777" w:rsidR="00B90BE7" w:rsidRPr="00B90BE7" w:rsidRDefault="00B90BE7" w:rsidP="00B90BE7">
      <w:pPr>
        <w:pStyle w:val="ListParagraph"/>
        <w:numPr>
          <w:ilvl w:val="0"/>
          <w:numId w:val="62"/>
        </w:numPr>
        <w:rPr>
          <w:iCs w:val="0"/>
        </w:rPr>
      </w:pPr>
      <w:r w:rsidRPr="00B90BE7">
        <w:rPr>
          <w:iCs w:val="0"/>
        </w:rPr>
        <w:t>over or underspending</w:t>
      </w:r>
    </w:p>
    <w:p w14:paraId="7E955470" w14:textId="77777777" w:rsidR="00B90BE7" w:rsidRPr="00B90BE7" w:rsidRDefault="00B90BE7" w:rsidP="00B90BE7">
      <w:pPr>
        <w:pStyle w:val="ListParagraph"/>
        <w:numPr>
          <w:ilvl w:val="0"/>
          <w:numId w:val="62"/>
        </w:numPr>
        <w:rPr>
          <w:iCs w:val="0"/>
        </w:rPr>
      </w:pPr>
      <w:r w:rsidRPr="00B90BE7">
        <w:rPr>
          <w:iCs w:val="0"/>
        </w:rPr>
        <w:t>revenue shortfalls or unexpected timing changes</w:t>
      </w:r>
    </w:p>
    <w:p w14:paraId="41D54F4A" w14:textId="77777777" w:rsidR="00B90BE7" w:rsidRPr="00B90BE7" w:rsidRDefault="00B90BE7" w:rsidP="00B90BE7">
      <w:pPr>
        <w:pStyle w:val="ListParagraph"/>
        <w:numPr>
          <w:ilvl w:val="0"/>
          <w:numId w:val="62"/>
        </w:numPr>
        <w:rPr>
          <w:iCs w:val="0"/>
        </w:rPr>
      </w:pPr>
      <w:r w:rsidRPr="00B90BE7">
        <w:rPr>
          <w:iCs w:val="0"/>
        </w:rPr>
        <w:t>unexpected cost growth</w:t>
      </w:r>
    </w:p>
    <w:p w14:paraId="2F4F9470" w14:textId="77777777" w:rsidR="00B90BE7" w:rsidRPr="00B90BE7" w:rsidRDefault="00B90BE7" w:rsidP="00B90BE7">
      <w:pPr>
        <w:pStyle w:val="ListParagraph"/>
        <w:numPr>
          <w:ilvl w:val="0"/>
          <w:numId w:val="62"/>
        </w:numPr>
        <w:rPr>
          <w:iCs w:val="0"/>
        </w:rPr>
      </w:pPr>
      <w:r w:rsidRPr="00B90BE7">
        <w:rPr>
          <w:iCs w:val="0"/>
        </w:rPr>
        <w:t>ongoing changes to budget assumptions</w:t>
      </w:r>
    </w:p>
    <w:p w14:paraId="5EC43B0F" w14:textId="54C78ADC" w:rsidR="00C14069" w:rsidRDefault="00B90BE7" w:rsidP="00B90BE7">
      <w:pPr>
        <w:pStyle w:val="ListParagraph"/>
        <w:numPr>
          <w:ilvl w:val="0"/>
          <w:numId w:val="62"/>
        </w:numPr>
        <w:rPr>
          <w:i/>
          <w:iCs w:val="0"/>
        </w:rPr>
      </w:pPr>
      <w:r w:rsidRPr="00B90BE7">
        <w:rPr>
          <w:iCs w:val="0"/>
        </w:rPr>
        <w:t xml:space="preserve">potential misstatements or errors if movements </w:t>
      </w:r>
      <w:r w:rsidRPr="00B90BE7">
        <w:rPr>
          <w:i/>
        </w:rPr>
        <w:t>cannot be logically explained</w:t>
      </w:r>
      <w:r>
        <w:rPr>
          <w:i/>
          <w:iCs w:val="0"/>
        </w:rPr>
        <w:t>.</w:t>
      </w:r>
    </w:p>
    <w:p w14:paraId="59D17D7A" w14:textId="2FA16FB5" w:rsidR="00B90BE7" w:rsidRPr="00C14069" w:rsidRDefault="00C14069" w:rsidP="00C14069">
      <w:pPr>
        <w:rPr>
          <w:rFonts w:eastAsiaTheme="minorEastAsia"/>
          <w:i/>
        </w:rPr>
      </w:pPr>
      <w:r>
        <w:rPr>
          <w:i/>
          <w:iCs/>
        </w:rPr>
        <w:br w:type="page"/>
      </w:r>
    </w:p>
    <w:p w14:paraId="36F53AF4" w14:textId="6DB34ADB" w:rsidR="009C3CF5" w:rsidRDefault="00A05D2C" w:rsidP="00A05D2C">
      <w:pPr>
        <w:pStyle w:val="Heading2"/>
      </w:pPr>
      <w:bookmarkStart w:id="23" w:name="_Toc222755610"/>
      <w:r>
        <w:lastRenderedPageBreak/>
        <w:t>Actual vs Actual Analysis (</w:t>
      </w:r>
      <w:proofErr w:type="spellStart"/>
      <w:r>
        <w:t>AvA</w:t>
      </w:r>
      <w:proofErr w:type="spellEnd"/>
      <w:r>
        <w:t>)</w:t>
      </w:r>
      <w:bookmarkEnd w:id="23"/>
    </w:p>
    <w:p w14:paraId="5B4B7B4C" w14:textId="753D15F3" w:rsidR="00A05D2C" w:rsidRDefault="00A05D2C" w:rsidP="00A05D2C">
      <w:r w:rsidRPr="00A05D2C">
        <w:t xml:space="preserve">This compares current year actuals to </w:t>
      </w:r>
      <w:r w:rsidR="00B041BE">
        <w:t>prior years’ actuals</w:t>
      </w:r>
      <w:r w:rsidRPr="00A05D2C">
        <w:t xml:space="preserve"> (e.g</w:t>
      </w:r>
      <w:r w:rsidR="00B041BE">
        <w:t>.</w:t>
      </w:r>
      <w:r w:rsidRPr="00A05D2C">
        <w:t xml:space="preserve"> last</w:t>
      </w:r>
      <w:r>
        <w:t xml:space="preserve"> financial</w:t>
      </w:r>
      <w:r w:rsidRPr="00A05D2C">
        <w:t xml:space="preserve"> year).</w:t>
      </w:r>
      <w:r>
        <w:t xml:space="preserve"> It directly correlates to the presentation of financial statements and </w:t>
      </w:r>
      <w:r w:rsidR="00B041BE">
        <w:t xml:space="preserve">accompanying </w:t>
      </w:r>
      <w:r>
        <w:t xml:space="preserve">notes. </w:t>
      </w:r>
      <w:proofErr w:type="spellStart"/>
      <w:r>
        <w:t>AvA</w:t>
      </w:r>
      <w:proofErr w:type="spellEnd"/>
      <w:r>
        <w:t xml:space="preserve"> analysis highlights:</w:t>
      </w:r>
    </w:p>
    <w:p w14:paraId="3CDE35E0" w14:textId="164DB2BA" w:rsidR="00A05D2C" w:rsidRPr="00A05D2C" w:rsidRDefault="00A05D2C" w:rsidP="00A05D2C">
      <w:pPr>
        <w:pStyle w:val="ListParagraph"/>
        <w:numPr>
          <w:ilvl w:val="0"/>
          <w:numId w:val="38"/>
        </w:numPr>
      </w:pPr>
      <w:r>
        <w:t>m</w:t>
      </w:r>
      <w:r w:rsidRPr="00A05D2C">
        <w:t xml:space="preserve">aterial increases/decreases compared to last year </w:t>
      </w:r>
    </w:p>
    <w:p w14:paraId="33C5A9E4" w14:textId="438007A9" w:rsidR="00A05D2C" w:rsidRPr="00A05D2C" w:rsidRDefault="00F0175E" w:rsidP="00A05D2C">
      <w:pPr>
        <w:pStyle w:val="ListParagraph"/>
        <w:numPr>
          <w:ilvl w:val="0"/>
          <w:numId w:val="38"/>
        </w:numPr>
      </w:pPr>
      <w:r>
        <w:t>s</w:t>
      </w:r>
      <w:r w:rsidR="00A05D2C" w:rsidRPr="00A05D2C">
        <w:t xml:space="preserve">tructural business changes </w:t>
      </w:r>
      <w:r w:rsidR="00B041BE">
        <w:t>e.g.</w:t>
      </w:r>
      <w:r>
        <w:t xml:space="preserve"> new </w:t>
      </w:r>
      <w:r w:rsidR="00A05D2C">
        <w:t xml:space="preserve">policy </w:t>
      </w:r>
      <w:r>
        <w:t>decisions, savings measures</w:t>
      </w:r>
    </w:p>
    <w:p w14:paraId="41136FA9" w14:textId="2E0F6174" w:rsidR="00A05D2C" w:rsidRPr="00A05D2C" w:rsidRDefault="00F0175E" w:rsidP="00A05D2C">
      <w:pPr>
        <w:pStyle w:val="ListParagraph"/>
        <w:numPr>
          <w:ilvl w:val="0"/>
          <w:numId w:val="38"/>
        </w:numPr>
      </w:pPr>
      <w:r>
        <w:t>s</w:t>
      </w:r>
      <w:r w:rsidR="00A05D2C" w:rsidRPr="00A05D2C">
        <w:t>hifts in spending patterns</w:t>
      </w:r>
      <w:r w:rsidR="00A05D2C">
        <w:t xml:space="preserve">, </w:t>
      </w:r>
      <w:r w:rsidR="00B041BE">
        <w:t>e.g.</w:t>
      </w:r>
      <w:r w:rsidR="00A05D2C">
        <w:t xml:space="preserve"> budget and demand </w:t>
      </w:r>
      <w:r w:rsidR="0097312B">
        <w:t xml:space="preserve">and cost </w:t>
      </w:r>
      <w:r w:rsidR="00A05D2C">
        <w:t>pressures</w:t>
      </w:r>
    </w:p>
    <w:p w14:paraId="66ABDA63" w14:textId="2D5722DC" w:rsidR="00A05D2C" w:rsidRPr="00A05D2C" w:rsidRDefault="00F0175E" w:rsidP="00A05D2C">
      <w:pPr>
        <w:pStyle w:val="ListParagraph"/>
        <w:numPr>
          <w:ilvl w:val="0"/>
          <w:numId w:val="38"/>
        </w:numPr>
      </w:pPr>
      <w:r>
        <w:t>p</w:t>
      </w:r>
      <w:r w:rsidR="00A05D2C" w:rsidRPr="00A05D2C">
        <w:t xml:space="preserve">otential misstatements </w:t>
      </w:r>
      <w:r w:rsidR="00A05D2C">
        <w:t xml:space="preserve">or errors </w:t>
      </w:r>
      <w:r w:rsidR="00A05D2C" w:rsidRPr="00A05D2C">
        <w:t>if movements cannot be logically explained</w:t>
      </w:r>
      <w:r w:rsidR="00D260DC">
        <w:t>.</w:t>
      </w:r>
    </w:p>
    <w:p w14:paraId="45585997" w14:textId="0B513195" w:rsidR="000A1CB0" w:rsidRDefault="000377BF" w:rsidP="000A1CB0">
      <w:pPr>
        <w:pStyle w:val="Heading1"/>
      </w:pPr>
      <w:bookmarkStart w:id="24" w:name="_Toc222755611"/>
      <w:r>
        <w:t>External audit</w:t>
      </w:r>
      <w:bookmarkEnd w:id="24"/>
      <w:r>
        <w:t xml:space="preserve"> </w:t>
      </w:r>
    </w:p>
    <w:p w14:paraId="3D8831E1" w14:textId="77777777" w:rsidR="00B3503E" w:rsidRDefault="00B3503E" w:rsidP="00B3503E">
      <w:pPr>
        <w:pStyle w:val="BodyText"/>
        <w:rPr>
          <w:lang w:eastAsia="en-AU"/>
        </w:rPr>
      </w:pPr>
      <w:r>
        <w:rPr>
          <w:lang w:eastAsia="en-AU"/>
        </w:rPr>
        <w:t xml:space="preserve">The Auditor-General is the auditor of all Territory public sector entities under the </w:t>
      </w:r>
      <w:r w:rsidRPr="004D5370">
        <w:rPr>
          <w:i/>
          <w:iCs/>
          <w:lang w:eastAsia="en-AU"/>
        </w:rPr>
        <w:t>Audit Act 1995</w:t>
      </w:r>
      <w:r>
        <w:rPr>
          <w:lang w:eastAsia="en-AU"/>
        </w:rPr>
        <w:t>.</w:t>
      </w:r>
    </w:p>
    <w:p w14:paraId="2CEE6386" w14:textId="77777777" w:rsidR="00B3503E" w:rsidRDefault="00B3503E" w:rsidP="00B3503E">
      <w:pPr>
        <w:pStyle w:val="BodyText"/>
        <w:rPr>
          <w:lang w:eastAsia="en-AU"/>
        </w:rPr>
      </w:pPr>
      <w:r>
        <w:rPr>
          <w:lang w:eastAsia="en-AU"/>
        </w:rPr>
        <w:t xml:space="preserve">Northern Territory government departments and agencies are not required to have their financial statements audited unless directed to do so by the Treasurer. </w:t>
      </w:r>
    </w:p>
    <w:p w14:paraId="506CDCE7" w14:textId="77777777" w:rsidR="00B3503E" w:rsidRDefault="00B3503E" w:rsidP="00B3503E">
      <w:pPr>
        <w:pStyle w:val="BodyText"/>
        <w:rPr>
          <w:lang w:eastAsia="en-AU"/>
        </w:rPr>
      </w:pPr>
      <w:r>
        <w:rPr>
          <w:lang w:eastAsia="en-AU"/>
        </w:rPr>
        <w:t xml:space="preserve">If your agency was directed to have its financial statements audited, the Northern Territory Auditor-General’s Office will engage a private sector audit firm to undertake the audit on behalf of the Auditor-General. The Auditor-General will issue the audit opinion to the Chief Executive Officer and to the responsible minister. The audit opinion must be included with the audited financial statements in the agency’s annual report. </w:t>
      </w:r>
    </w:p>
    <w:p w14:paraId="58E2FE89" w14:textId="3BA18C3C" w:rsidR="00B3503E" w:rsidRDefault="00B3503E" w:rsidP="000A1CB0">
      <w:pPr>
        <w:pStyle w:val="BodyText"/>
        <w:rPr>
          <w:lang w:eastAsia="en-AU"/>
        </w:rPr>
      </w:pPr>
      <w:r>
        <w:rPr>
          <w:lang w:eastAsia="en-AU"/>
        </w:rPr>
        <w:t xml:space="preserve">The Auditor-General may undertake the audit of specific elements, accounts or items of the agency’s financial statement for the purposes of an audit of the consolidated Treasurer’s Annual Financial Report (TAFR). The Auditor-General will not issue a separate audit opinion </w:t>
      </w:r>
      <w:proofErr w:type="gramStart"/>
      <w:r>
        <w:rPr>
          <w:lang w:eastAsia="en-AU"/>
        </w:rPr>
        <w:t>as a result of</w:t>
      </w:r>
      <w:proofErr w:type="gramEnd"/>
      <w:r>
        <w:rPr>
          <w:lang w:eastAsia="en-AU"/>
        </w:rPr>
        <w:t xml:space="preserve"> this work. </w:t>
      </w:r>
    </w:p>
    <w:p w14:paraId="08E308D3" w14:textId="77777777" w:rsidR="00B3503E" w:rsidRDefault="00B3503E" w:rsidP="00B3503E">
      <w:pPr>
        <w:pStyle w:val="Heading2"/>
        <w:rPr>
          <w:lang w:eastAsia="en-AU"/>
        </w:rPr>
      </w:pPr>
      <w:bookmarkStart w:id="25" w:name="_Toc222755612"/>
      <w:r>
        <w:rPr>
          <w:lang w:eastAsia="en-AU"/>
        </w:rPr>
        <w:t>Audits of grant acquittals</w:t>
      </w:r>
      <w:bookmarkEnd w:id="25"/>
      <w:r>
        <w:rPr>
          <w:lang w:eastAsia="en-AU"/>
        </w:rPr>
        <w:t xml:space="preserve"> </w:t>
      </w:r>
    </w:p>
    <w:p w14:paraId="08D63842" w14:textId="77777777" w:rsidR="00B3503E" w:rsidRDefault="00B3503E" w:rsidP="00B3503E">
      <w:pPr>
        <w:rPr>
          <w:lang w:eastAsia="en-AU"/>
        </w:rPr>
      </w:pPr>
      <w:r w:rsidRPr="004D5370">
        <w:rPr>
          <w:lang w:eastAsia="en-AU"/>
        </w:rPr>
        <w:t xml:space="preserve">In addition to legislatively mandated audits, some grant programs or agreements, mainly those provided by the Australian Government, require the Auditor-General to undertake audits of grant acquittals and complete audit certifications. This is relevant to any agreement where the term ‘state or territory auditor’ or ‘the auditor’ is used. In other instances, the </w:t>
      </w:r>
      <w:r>
        <w:rPr>
          <w:lang w:eastAsia="en-AU"/>
        </w:rPr>
        <w:t>agency</w:t>
      </w:r>
      <w:r w:rsidRPr="004D5370">
        <w:rPr>
          <w:lang w:eastAsia="en-AU"/>
        </w:rPr>
        <w:t xml:space="preserve"> may have the discretion to appoint the auditor.</w:t>
      </w:r>
      <w:r>
        <w:rPr>
          <w:lang w:eastAsia="en-AU"/>
        </w:rPr>
        <w:t xml:space="preserve"> </w:t>
      </w:r>
    </w:p>
    <w:p w14:paraId="1D38F8E5" w14:textId="722892F7" w:rsidR="00B3503E" w:rsidRPr="000B39A7" w:rsidRDefault="00B3503E" w:rsidP="00B3503E">
      <w:r w:rsidRPr="000B39A7">
        <w:t xml:space="preserve">When the grant program, agreement or regulations give the </w:t>
      </w:r>
      <w:r>
        <w:t>agency</w:t>
      </w:r>
      <w:r w:rsidRPr="000B39A7">
        <w:t xml:space="preserve"> choice between the Auditor-General or any other suitable person to undertake the audit, the </w:t>
      </w:r>
      <w:r>
        <w:t>agency</w:t>
      </w:r>
      <w:r w:rsidRPr="000B39A7">
        <w:t xml:space="preserve"> is encouraged to discuss the engagement with the </w:t>
      </w:r>
      <w:r>
        <w:rPr>
          <w:lang w:eastAsia="en-AU"/>
        </w:rPr>
        <w:t>Northern Territory Auditor-General’s Office</w:t>
      </w:r>
      <w:r w:rsidRPr="000B39A7">
        <w:t xml:space="preserve"> in the first instance. Subject to the </w:t>
      </w:r>
      <w:r>
        <w:t>Auditor-General</w:t>
      </w:r>
      <w:r w:rsidRPr="000B39A7">
        <w:t xml:space="preserve">’s approval, the </w:t>
      </w:r>
      <w:r>
        <w:rPr>
          <w:lang w:eastAsia="en-AU"/>
        </w:rPr>
        <w:t>Northern Territory Auditor-General’s Office</w:t>
      </w:r>
      <w:r w:rsidRPr="000B39A7">
        <w:t xml:space="preserve"> may undertake the audit through the audit firm contracted to undertake the main financial statements audit. This may reduce duplication of efforts and overlaps between engagements. </w:t>
      </w:r>
    </w:p>
    <w:p w14:paraId="2DB13685" w14:textId="77777777" w:rsidR="00B3503E" w:rsidRDefault="00B3503E" w:rsidP="00B3503E">
      <w:r w:rsidRPr="000B39A7">
        <w:t>The Audit Act does not allow the Auditor-General to undertake audits or audit-related services by arrangements when requested by a public sector entity. Therefore, the Auditor-General cannot consider requests to audit grant acquittals unless the grant program, agreement or regulations give the entity choice between the Auditor-General or any other suitable person to undertake the audit.</w:t>
      </w:r>
    </w:p>
    <w:p w14:paraId="515B1FF7" w14:textId="3C9C0FCF" w:rsidR="00C14069" w:rsidRDefault="00B3503E" w:rsidP="00266B33">
      <w:pPr>
        <w:rPr>
          <w:lang w:eastAsia="en-AU"/>
        </w:rPr>
      </w:pPr>
      <w:r>
        <w:rPr>
          <w:lang w:eastAsia="en-AU"/>
        </w:rPr>
        <w:t>Agencies are encouraged to contact the Northern Territory Auditor-General’s Office to confirm audit arrangements if unsure and to ensure compliance with funding agreements.</w:t>
      </w:r>
    </w:p>
    <w:p w14:paraId="4C218299" w14:textId="44EE5080" w:rsidR="00B3503E" w:rsidRDefault="00C14069" w:rsidP="00266B33">
      <w:pPr>
        <w:rPr>
          <w:lang w:eastAsia="en-AU"/>
        </w:rPr>
      </w:pPr>
      <w:r>
        <w:rPr>
          <w:lang w:eastAsia="en-AU"/>
        </w:rPr>
        <w:br w:type="page"/>
      </w:r>
    </w:p>
    <w:p w14:paraId="5A417252" w14:textId="77777777" w:rsidR="0046749A" w:rsidRPr="00266B33" w:rsidRDefault="0046749A" w:rsidP="00266B33">
      <w:pPr>
        <w:pStyle w:val="Heading2"/>
        <w:rPr>
          <w:bCs w:val="0"/>
        </w:rPr>
      </w:pPr>
      <w:bookmarkStart w:id="26" w:name="_Toc222755613"/>
      <w:r w:rsidRPr="00266B33">
        <w:lastRenderedPageBreak/>
        <w:t>Understanding the auditor’s role</w:t>
      </w:r>
      <w:bookmarkEnd w:id="26"/>
    </w:p>
    <w:p w14:paraId="20928680" w14:textId="28F87922" w:rsidR="000377BF" w:rsidRDefault="0046749A" w:rsidP="000A1CB0">
      <w:pPr>
        <w:pStyle w:val="BodyText"/>
        <w:rPr>
          <w:lang w:eastAsia="en-AU"/>
        </w:rPr>
      </w:pPr>
      <w:r w:rsidRPr="0046749A">
        <w:rPr>
          <w:lang w:eastAsia="en-AU"/>
        </w:rPr>
        <w:t xml:space="preserve">The auditor plays an important role in assuring the integrity of </w:t>
      </w:r>
      <w:r>
        <w:rPr>
          <w:lang w:eastAsia="en-AU"/>
        </w:rPr>
        <w:t>the financial statements</w:t>
      </w:r>
      <w:r w:rsidRPr="0046749A">
        <w:rPr>
          <w:lang w:eastAsia="en-AU"/>
        </w:rPr>
        <w:t xml:space="preserve"> and reviews the </w:t>
      </w:r>
      <w:r>
        <w:rPr>
          <w:lang w:eastAsia="en-AU"/>
        </w:rPr>
        <w:t>agency</w:t>
      </w:r>
      <w:r w:rsidRPr="0046749A">
        <w:rPr>
          <w:lang w:eastAsia="en-AU"/>
        </w:rPr>
        <w:t>’s financial reporting arrangements and the integrity of financial reports throughout the year.</w:t>
      </w:r>
    </w:p>
    <w:p w14:paraId="786DD71A" w14:textId="2D51F274" w:rsidR="0046749A" w:rsidRPr="0046749A" w:rsidRDefault="0046749A" w:rsidP="0046749A">
      <w:pPr>
        <w:pStyle w:val="BodyText"/>
        <w:rPr>
          <w:lang w:eastAsia="en-AU"/>
        </w:rPr>
      </w:pPr>
      <w:r w:rsidRPr="0046749A">
        <w:rPr>
          <w:lang w:eastAsia="en-AU"/>
        </w:rPr>
        <w:t xml:space="preserve">The </w:t>
      </w:r>
      <w:r>
        <w:rPr>
          <w:lang w:eastAsia="en-AU"/>
        </w:rPr>
        <w:t>audit opinion</w:t>
      </w:r>
      <w:r w:rsidRPr="0046749A">
        <w:rPr>
          <w:lang w:eastAsia="en-AU"/>
        </w:rPr>
        <w:t xml:space="preserve"> is formed </w:t>
      </w:r>
      <w:proofErr w:type="gramStart"/>
      <w:r w:rsidRPr="0046749A">
        <w:rPr>
          <w:lang w:eastAsia="en-AU"/>
        </w:rPr>
        <w:t>on the basis of</w:t>
      </w:r>
      <w:proofErr w:type="gramEnd"/>
      <w:r w:rsidRPr="0046749A">
        <w:rPr>
          <w:lang w:eastAsia="en-AU"/>
        </w:rPr>
        <w:t xml:space="preserve"> audit procedures, which include:</w:t>
      </w:r>
    </w:p>
    <w:p w14:paraId="28E1E7C6" w14:textId="77777777" w:rsidR="0046749A" w:rsidRPr="0046749A" w:rsidRDefault="0046749A" w:rsidP="0046749A">
      <w:pPr>
        <w:pStyle w:val="BodyText"/>
        <w:numPr>
          <w:ilvl w:val="0"/>
          <w:numId w:val="44"/>
        </w:numPr>
        <w:rPr>
          <w:lang w:eastAsia="en-AU"/>
        </w:rPr>
      </w:pPr>
      <w:r w:rsidRPr="0046749A">
        <w:rPr>
          <w:lang w:eastAsia="en-AU"/>
        </w:rPr>
        <w:t>assessing the effectiveness of management’s internal controls over financial reporting and legal compliance</w:t>
      </w:r>
    </w:p>
    <w:p w14:paraId="7D855CFC" w14:textId="77777777" w:rsidR="0046749A" w:rsidRPr="0046749A" w:rsidRDefault="0046749A" w:rsidP="0046749A">
      <w:pPr>
        <w:pStyle w:val="BodyText"/>
        <w:numPr>
          <w:ilvl w:val="0"/>
          <w:numId w:val="44"/>
        </w:numPr>
        <w:rPr>
          <w:lang w:eastAsia="en-AU"/>
        </w:rPr>
      </w:pPr>
      <w:r w:rsidRPr="0046749A">
        <w:rPr>
          <w:lang w:eastAsia="en-AU"/>
        </w:rPr>
        <w:t>examining, on a test basis, information that provides evidence supporting the amounts and disclosures in the financial statements</w:t>
      </w:r>
    </w:p>
    <w:p w14:paraId="004D2962" w14:textId="1DF283AB" w:rsidR="0046749A" w:rsidRDefault="0046749A" w:rsidP="0046749A">
      <w:pPr>
        <w:pStyle w:val="BodyText"/>
        <w:numPr>
          <w:ilvl w:val="0"/>
          <w:numId w:val="44"/>
        </w:numPr>
        <w:rPr>
          <w:lang w:eastAsia="en-AU"/>
        </w:rPr>
      </w:pPr>
      <w:r w:rsidRPr="0046749A">
        <w:rPr>
          <w:lang w:eastAsia="en-AU"/>
        </w:rPr>
        <w:t xml:space="preserve">assessing the appropriateness of the accounting policies and disclosures used, and the reasonableness of significant accounting estimates made by </w:t>
      </w:r>
      <w:r>
        <w:rPr>
          <w:lang w:eastAsia="en-AU"/>
        </w:rPr>
        <w:t xml:space="preserve">management. </w:t>
      </w:r>
    </w:p>
    <w:p w14:paraId="24B2200A" w14:textId="1ED0E2FF" w:rsidR="000377BF" w:rsidRDefault="0046749A" w:rsidP="000A1CB0">
      <w:pPr>
        <w:pStyle w:val="BodyText"/>
        <w:rPr>
          <w:lang w:eastAsia="en-AU"/>
        </w:rPr>
      </w:pPr>
      <w:r>
        <w:rPr>
          <w:lang w:eastAsia="en-AU"/>
        </w:rPr>
        <w:t>An audit is not an investigation intended to uncover a fraud. However, an auditor is required to treat fraud risks as significant risks and must obtain an understanding of the agency’s related controls.</w:t>
      </w:r>
    </w:p>
    <w:p w14:paraId="0026CD1C" w14:textId="1B9AE6BC" w:rsidR="000A1CB0" w:rsidRDefault="000A1CB0" w:rsidP="000A1CB0">
      <w:pPr>
        <w:pStyle w:val="BodyText"/>
        <w:rPr>
          <w:lang w:eastAsia="en-AU"/>
        </w:rPr>
      </w:pPr>
      <w:r>
        <w:rPr>
          <w:lang w:eastAsia="en-AU"/>
        </w:rPr>
        <w:t>E</w:t>
      </w:r>
      <w:r w:rsidRPr="000A1CB0">
        <w:rPr>
          <w:lang w:eastAsia="en-AU"/>
        </w:rPr>
        <w:t>ffective liaison with auditors reduces disruption, shortens audit timelines, strengthens trust, and improves audit outcomes. The following steps reflect audit and financial governance best practice.</w:t>
      </w:r>
    </w:p>
    <w:p w14:paraId="21229E2F" w14:textId="77777777" w:rsidR="00201635" w:rsidRPr="00266B33" w:rsidRDefault="00201635" w:rsidP="00266B33">
      <w:pPr>
        <w:pStyle w:val="Heading2"/>
        <w:rPr>
          <w:bCs w:val="0"/>
        </w:rPr>
      </w:pPr>
      <w:bookmarkStart w:id="27" w:name="_Toc222755614"/>
      <w:r w:rsidRPr="00266B33">
        <w:t>Actions that may be taken by the CFO to support the audit</w:t>
      </w:r>
      <w:bookmarkEnd w:id="27"/>
    </w:p>
    <w:p w14:paraId="10608C57" w14:textId="01A58FAD" w:rsidR="00201635" w:rsidRDefault="00201635" w:rsidP="000A1CB0">
      <w:pPr>
        <w:pStyle w:val="BodyText"/>
        <w:rPr>
          <w:lang w:eastAsia="en-AU"/>
        </w:rPr>
      </w:pPr>
      <w:r>
        <w:rPr>
          <w:lang w:eastAsia="en-AU"/>
        </w:rPr>
        <w:t>The Chief Financial Officer is the main contact for audits of financial statements or specific elements, account or items of the agency’s financial statement.</w:t>
      </w:r>
    </w:p>
    <w:p w14:paraId="4B60ACE2" w14:textId="1E932DF6" w:rsidR="00201635" w:rsidRDefault="00201635" w:rsidP="000A1CB0">
      <w:pPr>
        <w:pStyle w:val="BodyText"/>
        <w:rPr>
          <w:lang w:eastAsia="en-AU"/>
        </w:rPr>
      </w:pPr>
      <w:r>
        <w:rPr>
          <w:lang w:eastAsia="en-AU"/>
        </w:rPr>
        <w:t>The CFO may nominate an audit liaison officer to, for example:</w:t>
      </w:r>
    </w:p>
    <w:p w14:paraId="0F2AA816" w14:textId="3FCE9691" w:rsidR="00201635" w:rsidRPr="00201635" w:rsidRDefault="00201635" w:rsidP="00201635">
      <w:pPr>
        <w:pStyle w:val="BodyText"/>
        <w:numPr>
          <w:ilvl w:val="0"/>
          <w:numId w:val="46"/>
        </w:numPr>
        <w:rPr>
          <w:lang w:eastAsia="en-AU"/>
        </w:rPr>
      </w:pPr>
      <w:r w:rsidRPr="00201635">
        <w:rPr>
          <w:lang w:eastAsia="en-AU"/>
        </w:rPr>
        <w:t>organis</w:t>
      </w:r>
      <w:r>
        <w:rPr>
          <w:lang w:eastAsia="en-AU"/>
        </w:rPr>
        <w:t>e</w:t>
      </w:r>
      <w:r w:rsidRPr="00201635">
        <w:rPr>
          <w:lang w:eastAsia="en-AU"/>
        </w:rPr>
        <w:t xml:space="preserve"> the provision of the financial statements working papers at agreed times, through prior consultation between the auditor and the financial statements team on expectations and documentation requirements</w:t>
      </w:r>
    </w:p>
    <w:p w14:paraId="0F45A426" w14:textId="65FFFA81" w:rsidR="00201635" w:rsidRPr="00201635" w:rsidRDefault="00201635" w:rsidP="00201635">
      <w:pPr>
        <w:pStyle w:val="BodyText"/>
        <w:numPr>
          <w:ilvl w:val="0"/>
          <w:numId w:val="46"/>
        </w:numPr>
        <w:rPr>
          <w:lang w:eastAsia="en-AU"/>
        </w:rPr>
      </w:pPr>
      <w:r w:rsidRPr="00201635">
        <w:rPr>
          <w:lang w:eastAsia="en-AU"/>
        </w:rPr>
        <w:t>facilitat</w:t>
      </w:r>
      <w:r>
        <w:rPr>
          <w:lang w:eastAsia="en-AU"/>
        </w:rPr>
        <w:t>e</w:t>
      </w:r>
      <w:r w:rsidRPr="00201635">
        <w:rPr>
          <w:lang w:eastAsia="en-AU"/>
        </w:rPr>
        <w:t xml:space="preserve"> the availability of key staff, including business managers, internal and external experts and internal audit during the external audit process</w:t>
      </w:r>
    </w:p>
    <w:p w14:paraId="7DB70D0F" w14:textId="0F7CAA79" w:rsidR="00201635" w:rsidRPr="00201635" w:rsidRDefault="00201635" w:rsidP="00201635">
      <w:pPr>
        <w:pStyle w:val="BodyText"/>
        <w:numPr>
          <w:ilvl w:val="0"/>
          <w:numId w:val="46"/>
        </w:numPr>
        <w:rPr>
          <w:lang w:eastAsia="en-AU"/>
        </w:rPr>
      </w:pPr>
      <w:r w:rsidRPr="00201635">
        <w:rPr>
          <w:lang w:eastAsia="en-AU"/>
        </w:rPr>
        <w:t>arrang</w:t>
      </w:r>
      <w:r>
        <w:rPr>
          <w:lang w:eastAsia="en-AU"/>
        </w:rPr>
        <w:t>e</w:t>
      </w:r>
      <w:r w:rsidRPr="00201635">
        <w:rPr>
          <w:lang w:eastAsia="en-AU"/>
        </w:rPr>
        <w:t xml:space="preserve"> audit access to a</w:t>
      </w:r>
      <w:r>
        <w:rPr>
          <w:lang w:eastAsia="en-AU"/>
        </w:rPr>
        <w:t>n agency’s financial management</w:t>
      </w:r>
      <w:r w:rsidRPr="00201635">
        <w:rPr>
          <w:lang w:eastAsia="en-AU"/>
        </w:rPr>
        <w:t xml:space="preserve"> and related business systems</w:t>
      </w:r>
    </w:p>
    <w:p w14:paraId="7A90CF5A" w14:textId="3EA361E6" w:rsidR="00201635" w:rsidRPr="00201635" w:rsidRDefault="00201635" w:rsidP="00201635">
      <w:pPr>
        <w:pStyle w:val="BodyText"/>
        <w:numPr>
          <w:ilvl w:val="0"/>
          <w:numId w:val="46"/>
        </w:numPr>
        <w:rPr>
          <w:lang w:eastAsia="en-AU"/>
        </w:rPr>
      </w:pPr>
      <w:r w:rsidRPr="00201635">
        <w:rPr>
          <w:lang w:eastAsia="en-AU"/>
        </w:rPr>
        <w:t>arrang</w:t>
      </w:r>
      <w:r>
        <w:rPr>
          <w:lang w:eastAsia="en-AU"/>
        </w:rPr>
        <w:t>e</w:t>
      </w:r>
      <w:r w:rsidRPr="00201635">
        <w:rPr>
          <w:lang w:eastAsia="en-AU"/>
        </w:rPr>
        <w:t xml:space="preserve"> regular contact so that both parties are abreast of progress in the preparation of the financial statements and audit to exchange ideas on solutions, provide opportunities for feedback, facilitate reaching agreements and eliminate surprises</w:t>
      </w:r>
    </w:p>
    <w:p w14:paraId="206F978C" w14:textId="16958909" w:rsidR="00201635" w:rsidRPr="00201635" w:rsidRDefault="00201635" w:rsidP="00201635">
      <w:pPr>
        <w:pStyle w:val="BodyText"/>
        <w:numPr>
          <w:ilvl w:val="0"/>
          <w:numId w:val="46"/>
        </w:numPr>
        <w:rPr>
          <w:lang w:eastAsia="en-AU"/>
        </w:rPr>
      </w:pPr>
      <w:r w:rsidRPr="00201635">
        <w:rPr>
          <w:lang w:eastAsia="en-AU"/>
        </w:rPr>
        <w:t>coordinat</w:t>
      </w:r>
      <w:r>
        <w:rPr>
          <w:lang w:eastAsia="en-AU"/>
        </w:rPr>
        <w:t>e</w:t>
      </w:r>
      <w:r w:rsidRPr="00201635">
        <w:rPr>
          <w:lang w:eastAsia="en-AU"/>
        </w:rPr>
        <w:t xml:space="preserve"> and respond to audit reports and management letters promptly.</w:t>
      </w:r>
    </w:p>
    <w:p w14:paraId="7E879907" w14:textId="7CC880B3" w:rsidR="00201635" w:rsidRDefault="00201635" w:rsidP="00201635">
      <w:pPr>
        <w:pStyle w:val="BodyText"/>
        <w:rPr>
          <w:lang w:eastAsia="en-AU"/>
        </w:rPr>
      </w:pPr>
      <w:r w:rsidRPr="00201635">
        <w:rPr>
          <w:lang w:eastAsia="en-AU"/>
        </w:rPr>
        <w:t xml:space="preserve">Delegating responsibilities does not absolve </w:t>
      </w:r>
      <w:r>
        <w:rPr>
          <w:lang w:eastAsia="en-AU"/>
        </w:rPr>
        <w:t>the CFO</w:t>
      </w:r>
      <w:r w:rsidRPr="00201635">
        <w:rPr>
          <w:lang w:eastAsia="en-AU"/>
        </w:rPr>
        <w:t xml:space="preserve"> of the ultimate </w:t>
      </w:r>
      <w:r w:rsidRPr="00266B33">
        <w:rPr>
          <w:lang w:eastAsia="en-AU"/>
        </w:rPr>
        <w:t>accountability</w:t>
      </w:r>
      <w:r w:rsidRPr="00201635">
        <w:rPr>
          <w:lang w:eastAsia="en-AU"/>
        </w:rPr>
        <w:t xml:space="preserve"> for the </w:t>
      </w:r>
      <w:r>
        <w:rPr>
          <w:lang w:eastAsia="en-AU"/>
        </w:rPr>
        <w:t xml:space="preserve">audit </w:t>
      </w:r>
      <w:r w:rsidRPr="00201635">
        <w:rPr>
          <w:lang w:eastAsia="en-AU"/>
        </w:rPr>
        <w:t>outcome</w:t>
      </w:r>
      <w:r>
        <w:rPr>
          <w:lang w:eastAsia="en-AU"/>
        </w:rPr>
        <w:t>.</w:t>
      </w:r>
    </w:p>
    <w:p w14:paraId="739D05E0" w14:textId="6BB657DD" w:rsidR="000A1CB0" w:rsidRDefault="002928C4" w:rsidP="00266B33">
      <w:pPr>
        <w:pStyle w:val="Heading3"/>
      </w:pPr>
      <w:bookmarkStart w:id="28" w:name="_Toc222755615"/>
      <w:r>
        <w:t>Pre-audit preparation</w:t>
      </w:r>
      <w:bookmarkEnd w:id="28"/>
    </w:p>
    <w:p w14:paraId="2CEF9E9D" w14:textId="10F1EF05" w:rsidR="002928C4" w:rsidRDefault="002928C4" w:rsidP="002928C4">
      <w:pPr>
        <w:pStyle w:val="BodyText"/>
        <w:numPr>
          <w:ilvl w:val="0"/>
          <w:numId w:val="23"/>
        </w:numPr>
        <w:rPr>
          <w:lang w:eastAsia="en-AU"/>
        </w:rPr>
      </w:pPr>
      <w:r>
        <w:rPr>
          <w:lang w:eastAsia="en-AU"/>
        </w:rPr>
        <w:t>E</w:t>
      </w:r>
      <w:r w:rsidRPr="002928C4">
        <w:rPr>
          <w:lang w:eastAsia="en-AU"/>
        </w:rPr>
        <w:t xml:space="preserve">nsure access arrangements are ready (systems, rooms, </w:t>
      </w:r>
      <w:r>
        <w:rPr>
          <w:lang w:eastAsia="en-AU"/>
        </w:rPr>
        <w:t xml:space="preserve">information </w:t>
      </w:r>
      <w:r w:rsidRPr="002928C4">
        <w:rPr>
          <w:lang w:eastAsia="en-AU"/>
        </w:rPr>
        <w:t>transfer)</w:t>
      </w:r>
    </w:p>
    <w:p w14:paraId="7DAAC488" w14:textId="46DE9944" w:rsidR="00AE23F3" w:rsidRPr="002928C4" w:rsidRDefault="00AE23F3" w:rsidP="002928C4">
      <w:pPr>
        <w:pStyle w:val="BodyText"/>
        <w:numPr>
          <w:ilvl w:val="0"/>
          <w:numId w:val="23"/>
        </w:numPr>
        <w:rPr>
          <w:lang w:eastAsia="en-AU"/>
        </w:rPr>
      </w:pPr>
      <w:r>
        <w:rPr>
          <w:lang w:eastAsia="en-AU"/>
        </w:rPr>
        <w:t xml:space="preserve">Prepare all responses to </w:t>
      </w:r>
      <w:r w:rsidR="00AA1FAF">
        <w:rPr>
          <w:lang w:eastAsia="en-AU"/>
        </w:rPr>
        <w:t xml:space="preserve">document requests (often called </w:t>
      </w:r>
      <w:r>
        <w:rPr>
          <w:lang w:eastAsia="en-AU"/>
        </w:rPr>
        <w:t>Client Assistance Package (CAP)</w:t>
      </w:r>
      <w:r w:rsidR="00AA1FAF">
        <w:rPr>
          <w:lang w:eastAsia="en-AU"/>
        </w:rPr>
        <w:t>)</w:t>
      </w:r>
    </w:p>
    <w:p w14:paraId="246D4AA2" w14:textId="56C7C4C7" w:rsidR="007949DF" w:rsidRPr="007949DF" w:rsidRDefault="007949DF" w:rsidP="00266B33">
      <w:pPr>
        <w:pStyle w:val="Heading3"/>
      </w:pPr>
      <w:bookmarkStart w:id="29" w:name="_Toc222755616"/>
      <w:r>
        <w:t>Entry</w:t>
      </w:r>
      <w:r w:rsidR="008C4166">
        <w:t xml:space="preserve"> (or planning)</w:t>
      </w:r>
      <w:r>
        <w:t xml:space="preserve"> meeting</w:t>
      </w:r>
      <w:bookmarkEnd w:id="29"/>
    </w:p>
    <w:p w14:paraId="76B8D5CB" w14:textId="74F83FA2" w:rsidR="007949DF" w:rsidRPr="007949DF" w:rsidRDefault="007949DF" w:rsidP="007949DF">
      <w:pPr>
        <w:pStyle w:val="ListParagraph"/>
        <w:numPr>
          <w:ilvl w:val="0"/>
          <w:numId w:val="23"/>
        </w:numPr>
        <w:rPr>
          <w:lang w:eastAsia="en-AU"/>
        </w:rPr>
      </w:pPr>
      <w:r w:rsidRPr="007949DF">
        <w:rPr>
          <w:lang w:eastAsia="en-AU"/>
        </w:rPr>
        <w:t xml:space="preserve">Clarify the audit scope, methodology, </w:t>
      </w:r>
      <w:r w:rsidR="002928C4">
        <w:rPr>
          <w:lang w:eastAsia="en-AU"/>
        </w:rPr>
        <w:t>timelines and expectations for the turnaround of queries</w:t>
      </w:r>
    </w:p>
    <w:p w14:paraId="399FE725" w14:textId="70509A5F" w:rsidR="002928C4" w:rsidRDefault="007949DF" w:rsidP="002928C4">
      <w:pPr>
        <w:pStyle w:val="ListParagraph"/>
        <w:numPr>
          <w:ilvl w:val="0"/>
          <w:numId w:val="23"/>
        </w:numPr>
        <w:rPr>
          <w:lang w:eastAsia="en-AU"/>
        </w:rPr>
      </w:pPr>
      <w:r w:rsidRPr="007949DF">
        <w:rPr>
          <w:lang w:eastAsia="en-AU"/>
        </w:rPr>
        <w:t>Agree on communication channels and escalation points</w:t>
      </w:r>
      <w:r w:rsidR="00DD44E6">
        <w:rPr>
          <w:lang w:eastAsia="en-AU"/>
        </w:rPr>
        <w:t xml:space="preserve">, including </w:t>
      </w:r>
      <w:r w:rsidR="00F5663B">
        <w:rPr>
          <w:lang w:eastAsia="en-AU"/>
        </w:rPr>
        <w:t xml:space="preserve">setting up </w:t>
      </w:r>
      <w:r w:rsidR="00DD44E6">
        <w:rPr>
          <w:lang w:eastAsia="en-AU"/>
        </w:rPr>
        <w:t>weekly meetings to update on progress</w:t>
      </w:r>
      <w:r w:rsidR="00F5663B">
        <w:rPr>
          <w:lang w:eastAsia="en-AU"/>
        </w:rPr>
        <w:t xml:space="preserve"> of audit, issues identified</w:t>
      </w:r>
      <w:r w:rsidR="00DD44E6">
        <w:rPr>
          <w:lang w:eastAsia="en-AU"/>
        </w:rPr>
        <w:t xml:space="preserve"> </w:t>
      </w:r>
      <w:r w:rsidR="00F5663B">
        <w:rPr>
          <w:lang w:eastAsia="en-AU"/>
        </w:rPr>
        <w:t>and to</w:t>
      </w:r>
      <w:r w:rsidR="00DD44E6">
        <w:rPr>
          <w:lang w:eastAsia="en-AU"/>
        </w:rPr>
        <w:t xml:space="preserve"> communicate outstanding items</w:t>
      </w:r>
    </w:p>
    <w:p w14:paraId="6719615A" w14:textId="3CF0BEA8" w:rsidR="004C50D9" w:rsidRPr="00266B33" w:rsidRDefault="004C50D9" w:rsidP="00266B33">
      <w:pPr>
        <w:pStyle w:val="ListParagraph"/>
        <w:numPr>
          <w:ilvl w:val="0"/>
          <w:numId w:val="23"/>
        </w:numPr>
        <w:rPr>
          <w:lang w:eastAsia="en-AU"/>
        </w:rPr>
      </w:pPr>
      <w:r w:rsidRPr="00266B33">
        <w:rPr>
          <w:lang w:eastAsia="en-AU"/>
        </w:rPr>
        <w:t>Assist the auditor to plan its audit by providing information such as emerging risks, the application of new or changed accounting policies, changes to systems and unusual transactions</w:t>
      </w:r>
    </w:p>
    <w:p w14:paraId="65C8EBB1" w14:textId="1B6E8DEA" w:rsidR="004C50D9" w:rsidRPr="00266B33" w:rsidRDefault="004C50D9" w:rsidP="00266B33">
      <w:pPr>
        <w:pStyle w:val="ListParagraph"/>
        <w:numPr>
          <w:ilvl w:val="0"/>
          <w:numId w:val="23"/>
        </w:numPr>
        <w:rPr>
          <w:lang w:eastAsia="en-AU"/>
        </w:rPr>
      </w:pPr>
      <w:r w:rsidRPr="00266B33">
        <w:rPr>
          <w:lang w:eastAsia="en-AU"/>
        </w:rPr>
        <w:lastRenderedPageBreak/>
        <w:t>Discuss the application of materiality in the preparation of the financial statements</w:t>
      </w:r>
    </w:p>
    <w:p w14:paraId="49B8B4FF" w14:textId="3A853B16" w:rsidR="004C50D9" w:rsidRPr="00266B33" w:rsidRDefault="004C50D9" w:rsidP="00266B33">
      <w:pPr>
        <w:pStyle w:val="ListParagraph"/>
        <w:numPr>
          <w:ilvl w:val="0"/>
          <w:numId w:val="23"/>
        </w:numPr>
        <w:rPr>
          <w:lang w:eastAsia="en-AU"/>
        </w:rPr>
      </w:pPr>
      <w:r w:rsidRPr="00266B33">
        <w:rPr>
          <w:lang w:eastAsia="en-AU"/>
        </w:rPr>
        <w:t xml:space="preserve">Provide an update on implementing corrective actions resulting from </w:t>
      </w:r>
      <w:r w:rsidRPr="00DD1FE5">
        <w:rPr>
          <w:lang w:eastAsia="en-AU"/>
        </w:rPr>
        <w:t>previous audit finding</w:t>
      </w:r>
      <w:r>
        <w:rPr>
          <w:lang w:eastAsia="en-AU"/>
        </w:rPr>
        <w:t>s</w:t>
      </w:r>
    </w:p>
    <w:p w14:paraId="38E97CF3" w14:textId="534684E9" w:rsidR="004C50D9" w:rsidRPr="00266B33" w:rsidRDefault="004C50D9" w:rsidP="00266B33">
      <w:pPr>
        <w:pStyle w:val="ListParagraph"/>
        <w:numPr>
          <w:ilvl w:val="0"/>
          <w:numId w:val="23"/>
        </w:numPr>
        <w:rPr>
          <w:lang w:eastAsia="en-AU"/>
        </w:rPr>
      </w:pPr>
      <w:r w:rsidRPr="00266B33">
        <w:rPr>
          <w:lang w:eastAsia="en-AU"/>
        </w:rPr>
        <w:t>Internal audits and the extent to which the auditor may use the work</w:t>
      </w:r>
    </w:p>
    <w:p w14:paraId="4DB1217C" w14:textId="77777777" w:rsidR="00AA1FAF" w:rsidRDefault="004C50D9" w:rsidP="00AA1FAF">
      <w:pPr>
        <w:pStyle w:val="ListParagraph"/>
        <w:numPr>
          <w:ilvl w:val="0"/>
          <w:numId w:val="23"/>
        </w:numPr>
        <w:rPr>
          <w:lang w:eastAsia="en-AU"/>
        </w:rPr>
      </w:pPr>
      <w:r w:rsidRPr="00266B33">
        <w:rPr>
          <w:lang w:eastAsia="en-AU"/>
        </w:rPr>
        <w:t>Any other matters that may affect the quality and timeliness of the financial statements.</w:t>
      </w:r>
      <w:r w:rsidR="00AA1FAF" w:rsidRPr="00AA1FAF">
        <w:rPr>
          <w:lang w:eastAsia="en-AU"/>
        </w:rPr>
        <w:t xml:space="preserve"> </w:t>
      </w:r>
    </w:p>
    <w:p w14:paraId="7A5ECFCD" w14:textId="230C06C0" w:rsidR="00AA1FAF" w:rsidRPr="007949DF" w:rsidRDefault="00AA1FAF" w:rsidP="00AA1FAF">
      <w:pPr>
        <w:pStyle w:val="ListParagraph"/>
        <w:numPr>
          <w:ilvl w:val="0"/>
          <w:numId w:val="23"/>
        </w:numPr>
        <w:rPr>
          <w:lang w:eastAsia="en-AU"/>
        </w:rPr>
      </w:pPr>
      <w:r w:rsidRPr="007949DF">
        <w:rPr>
          <w:lang w:eastAsia="en-AU"/>
        </w:rPr>
        <w:t xml:space="preserve">Nominate a </w:t>
      </w:r>
      <w:r>
        <w:rPr>
          <w:lang w:eastAsia="en-AU"/>
        </w:rPr>
        <w:t xml:space="preserve">primary </w:t>
      </w:r>
      <w:r w:rsidRPr="007949DF">
        <w:rPr>
          <w:lang w:eastAsia="en-AU"/>
        </w:rPr>
        <w:t>point of contact for the audit</w:t>
      </w:r>
      <w:r>
        <w:rPr>
          <w:lang w:eastAsia="en-AU"/>
        </w:rPr>
        <w:t xml:space="preserve"> Agree on how documentation will be shared and the best way to communicate during the audit</w:t>
      </w:r>
    </w:p>
    <w:p w14:paraId="53704942" w14:textId="11847195" w:rsidR="007949DF" w:rsidRPr="007949DF" w:rsidRDefault="007949DF" w:rsidP="00266B33">
      <w:pPr>
        <w:pStyle w:val="Heading3"/>
      </w:pPr>
      <w:bookmarkStart w:id="30" w:name="_Toc222755617"/>
      <w:r>
        <w:t>P</w:t>
      </w:r>
      <w:r w:rsidRPr="007949DF">
        <w:t xml:space="preserve">rovide </w:t>
      </w:r>
      <w:r>
        <w:t>h</w:t>
      </w:r>
      <w:r w:rsidRPr="007949DF">
        <w:t>igh</w:t>
      </w:r>
      <w:r>
        <w:t xml:space="preserve"> q</w:t>
      </w:r>
      <w:r w:rsidRPr="007949DF">
        <w:t xml:space="preserve">uality, </w:t>
      </w:r>
      <w:r>
        <w:t>a</w:t>
      </w:r>
      <w:r w:rsidRPr="007949DF">
        <w:t>udit</w:t>
      </w:r>
      <w:r>
        <w:t xml:space="preserve"> r</w:t>
      </w:r>
      <w:r w:rsidRPr="007949DF">
        <w:t xml:space="preserve">eady </w:t>
      </w:r>
      <w:r>
        <w:t>d</w:t>
      </w:r>
      <w:r w:rsidRPr="007949DF">
        <w:t>ocumentation</w:t>
      </w:r>
      <w:bookmarkEnd w:id="30"/>
    </w:p>
    <w:p w14:paraId="15B757B9" w14:textId="74515E4B" w:rsidR="007949DF" w:rsidRDefault="007949DF" w:rsidP="007949DF">
      <w:pPr>
        <w:numPr>
          <w:ilvl w:val="0"/>
          <w:numId w:val="27"/>
        </w:numPr>
        <w:rPr>
          <w:lang w:eastAsia="en-AU"/>
        </w:rPr>
      </w:pPr>
      <w:r w:rsidRPr="007949DF">
        <w:rPr>
          <w:lang w:eastAsia="en-AU"/>
        </w:rPr>
        <w:t xml:space="preserve">Ensure all </w:t>
      </w:r>
      <w:r w:rsidR="002C3409">
        <w:rPr>
          <w:lang w:eastAsia="en-AU"/>
        </w:rPr>
        <w:t xml:space="preserve">relevant </w:t>
      </w:r>
      <w:r w:rsidRPr="007949DF">
        <w:rPr>
          <w:lang w:eastAsia="en-AU"/>
        </w:rPr>
        <w:t>reconciliations are complete, reviewed, and clearly referenced</w:t>
      </w:r>
      <w:r w:rsidR="00D50F37">
        <w:rPr>
          <w:lang w:eastAsia="en-AU"/>
        </w:rPr>
        <w:t xml:space="preserve"> </w:t>
      </w:r>
    </w:p>
    <w:p w14:paraId="7EF5CA52" w14:textId="14D15C50" w:rsidR="00D50F37" w:rsidRPr="007949DF" w:rsidRDefault="00D50F37" w:rsidP="00D50F37">
      <w:pPr>
        <w:pStyle w:val="ListParagraph"/>
        <w:numPr>
          <w:ilvl w:val="0"/>
          <w:numId w:val="27"/>
        </w:numPr>
        <w:rPr>
          <w:lang w:eastAsia="en-AU"/>
        </w:rPr>
      </w:pPr>
      <w:r>
        <w:rPr>
          <w:lang w:eastAsia="en-AU"/>
        </w:rPr>
        <w:t>Ensure reconciliation and workpapers are in a consistent format</w:t>
      </w:r>
    </w:p>
    <w:p w14:paraId="35AD1984" w14:textId="72375D40" w:rsidR="007949DF" w:rsidRPr="007949DF" w:rsidRDefault="00D50F37" w:rsidP="007949DF">
      <w:pPr>
        <w:numPr>
          <w:ilvl w:val="0"/>
          <w:numId w:val="27"/>
        </w:numPr>
        <w:rPr>
          <w:lang w:eastAsia="en-AU"/>
        </w:rPr>
      </w:pPr>
      <w:r>
        <w:rPr>
          <w:lang w:eastAsia="en-AU"/>
        </w:rPr>
        <w:t>Double check accuracy</w:t>
      </w:r>
      <w:r w:rsidR="002928C4">
        <w:rPr>
          <w:lang w:eastAsia="en-AU"/>
        </w:rPr>
        <w:t xml:space="preserve"> and</w:t>
      </w:r>
      <w:r>
        <w:rPr>
          <w:lang w:eastAsia="en-AU"/>
        </w:rPr>
        <w:t xml:space="preserve"> p</w:t>
      </w:r>
      <w:r w:rsidR="007949DF" w:rsidRPr="007949DF">
        <w:rPr>
          <w:lang w:eastAsia="en-AU"/>
        </w:rPr>
        <w:t>rovid</w:t>
      </w:r>
      <w:r w:rsidR="002928C4">
        <w:rPr>
          <w:lang w:eastAsia="en-AU"/>
        </w:rPr>
        <w:t>e</w:t>
      </w:r>
      <w:r w:rsidR="007949DF" w:rsidRPr="007949DF">
        <w:rPr>
          <w:lang w:eastAsia="en-AU"/>
        </w:rPr>
        <w:t xml:space="preserve"> support</w:t>
      </w:r>
      <w:r>
        <w:rPr>
          <w:lang w:eastAsia="en-AU"/>
        </w:rPr>
        <w:t>ing documentation</w:t>
      </w:r>
      <w:r w:rsidR="007949DF" w:rsidRPr="007949DF">
        <w:rPr>
          <w:lang w:eastAsia="en-AU"/>
        </w:rPr>
        <w:t xml:space="preserve"> that ties directly to the trial balance and financial</w:t>
      </w:r>
      <w:r w:rsidR="007949DF">
        <w:rPr>
          <w:lang w:eastAsia="en-AU"/>
        </w:rPr>
        <w:t xml:space="preserve"> </w:t>
      </w:r>
      <w:r w:rsidR="007949DF" w:rsidRPr="007949DF">
        <w:rPr>
          <w:lang w:eastAsia="en-AU"/>
        </w:rPr>
        <w:t>statement line items</w:t>
      </w:r>
    </w:p>
    <w:p w14:paraId="4CB8B777" w14:textId="03CC9367" w:rsidR="007949DF" w:rsidRPr="007949DF" w:rsidRDefault="007949DF" w:rsidP="007949DF">
      <w:pPr>
        <w:numPr>
          <w:ilvl w:val="0"/>
          <w:numId w:val="27"/>
        </w:numPr>
        <w:rPr>
          <w:lang w:eastAsia="en-AU"/>
        </w:rPr>
      </w:pPr>
      <w:r w:rsidRPr="007949DF">
        <w:rPr>
          <w:lang w:eastAsia="en-AU"/>
        </w:rPr>
        <w:t>Include clear documentation of judgements, estimates, and methodologies</w:t>
      </w:r>
    </w:p>
    <w:p w14:paraId="5A66BDAE" w14:textId="51A791B4" w:rsidR="007949DF" w:rsidRDefault="00D50F37" w:rsidP="007949DF">
      <w:pPr>
        <w:numPr>
          <w:ilvl w:val="0"/>
          <w:numId w:val="27"/>
        </w:numPr>
        <w:rPr>
          <w:lang w:eastAsia="en-AU"/>
        </w:rPr>
      </w:pPr>
      <w:r>
        <w:rPr>
          <w:lang w:eastAsia="en-AU"/>
        </w:rPr>
        <w:t xml:space="preserve">Clearly document preparation and version dates </w:t>
      </w:r>
      <w:r w:rsidR="007949DF">
        <w:rPr>
          <w:lang w:eastAsia="en-AU"/>
        </w:rPr>
        <w:t>and ensure information represents the most up to date balances before providing anything to auditors</w:t>
      </w:r>
    </w:p>
    <w:p w14:paraId="115602B6" w14:textId="77777777" w:rsidR="00BD31BB" w:rsidRDefault="00BD31BB" w:rsidP="00BD31BB">
      <w:pPr>
        <w:numPr>
          <w:ilvl w:val="0"/>
          <w:numId w:val="27"/>
        </w:numPr>
        <w:rPr>
          <w:lang w:eastAsia="en-AU"/>
        </w:rPr>
      </w:pPr>
      <w:r w:rsidRPr="007949DF">
        <w:rPr>
          <w:lang w:eastAsia="en-AU"/>
        </w:rPr>
        <w:t>Use cross</w:t>
      </w:r>
      <w:r w:rsidRPr="007949DF">
        <w:rPr>
          <w:lang w:eastAsia="en-AU"/>
        </w:rPr>
        <w:noBreakHyphen/>
        <w:t>referencing and links so auditors can trace numbers easily</w:t>
      </w:r>
    </w:p>
    <w:p w14:paraId="15127F55" w14:textId="4B984FFE" w:rsidR="00BD31BB" w:rsidRDefault="00BD31BB" w:rsidP="00BD31BB">
      <w:pPr>
        <w:pStyle w:val="BodyText"/>
        <w:numPr>
          <w:ilvl w:val="0"/>
          <w:numId w:val="27"/>
        </w:numPr>
      </w:pPr>
      <w:r>
        <w:t>D</w:t>
      </w:r>
      <w:r w:rsidRPr="00BD31BB">
        <w:t>o not prepare reco</w:t>
      </w:r>
      <w:r>
        <w:t>nciliations</w:t>
      </w:r>
      <w:r w:rsidRPr="00BD31BB">
        <w:t xml:space="preserve"> that are linked to external workpapers. Incorporate the raw/source data into the workpapers itself. This will avoid #Ref errors when you send the workpapers to external parties</w:t>
      </w:r>
    </w:p>
    <w:p w14:paraId="4348F182" w14:textId="42D292A9" w:rsidR="00BD31BB" w:rsidRDefault="00BD31BB" w:rsidP="00BD31BB">
      <w:pPr>
        <w:pStyle w:val="BodyText"/>
        <w:numPr>
          <w:ilvl w:val="0"/>
          <w:numId w:val="27"/>
        </w:numPr>
      </w:pPr>
      <w:r>
        <w:t>Do not hide cells. Use “</w:t>
      </w:r>
      <w:r w:rsidR="00B041BE">
        <w:t xml:space="preserve">data </w:t>
      </w:r>
      <w:r>
        <w:t xml:space="preserve">grouping”, so reviewer can expand or </w:t>
      </w:r>
      <w:r w:rsidR="00B041BE">
        <w:t>minimise data views</w:t>
      </w:r>
    </w:p>
    <w:p w14:paraId="6065D075" w14:textId="77777777" w:rsidR="00BD31BB" w:rsidRDefault="00BD31BB" w:rsidP="00BD31BB">
      <w:pPr>
        <w:pStyle w:val="BodyText"/>
        <w:numPr>
          <w:ilvl w:val="0"/>
          <w:numId w:val="27"/>
        </w:numPr>
      </w:pPr>
      <w:r>
        <w:t>Do not insert comments into cells, unless providing explanations for headers. Comments are easy to miss. Use text boxes and arrows if necessary.</w:t>
      </w:r>
    </w:p>
    <w:p w14:paraId="3CFAF63D" w14:textId="63CE0058" w:rsidR="00BD31BB" w:rsidRDefault="00BD31BB" w:rsidP="00BD31BB">
      <w:pPr>
        <w:pStyle w:val="BodyText"/>
        <w:numPr>
          <w:ilvl w:val="0"/>
          <w:numId w:val="27"/>
        </w:numPr>
      </w:pPr>
      <w:r>
        <w:t>Include an extract of prior year note/reconciliation, to make it easier to compare.</w:t>
      </w:r>
    </w:p>
    <w:p w14:paraId="46350D30" w14:textId="77777777" w:rsidR="00BD31BB" w:rsidRDefault="00BD31BB" w:rsidP="00BD31BB">
      <w:pPr>
        <w:pStyle w:val="BodyText"/>
        <w:numPr>
          <w:ilvl w:val="0"/>
          <w:numId w:val="27"/>
        </w:numPr>
      </w:pPr>
      <w:r>
        <w:t>If downloading information from the internet, include the link and page number so that the reviewer can confirm from the source data.</w:t>
      </w:r>
    </w:p>
    <w:p w14:paraId="7C47D223" w14:textId="77777777" w:rsidR="00BD31BB" w:rsidRDefault="00BD31BB" w:rsidP="00BD31BB">
      <w:pPr>
        <w:pStyle w:val="BodyText"/>
        <w:numPr>
          <w:ilvl w:val="0"/>
          <w:numId w:val="27"/>
        </w:numPr>
      </w:pPr>
      <w:r>
        <w:t>To reduce file size and mitigate risk of file corruption, delete #Ref error in the Name Manager and break all external data links.</w:t>
      </w:r>
    </w:p>
    <w:p w14:paraId="6A55718A" w14:textId="06E00981" w:rsidR="00BD31BB" w:rsidRDefault="00BD31BB" w:rsidP="00BD31BB">
      <w:pPr>
        <w:pStyle w:val="BodyText"/>
        <w:numPr>
          <w:ilvl w:val="0"/>
          <w:numId w:val="27"/>
        </w:numPr>
      </w:pPr>
      <w:r>
        <w:t>Implement consistency wherever possible.</w:t>
      </w:r>
    </w:p>
    <w:p w14:paraId="70F31983" w14:textId="77777777" w:rsidR="00BD31BB" w:rsidRDefault="00BD31BB" w:rsidP="00BD31BB">
      <w:pPr>
        <w:pStyle w:val="BodyText"/>
        <w:numPr>
          <w:ilvl w:val="1"/>
          <w:numId w:val="27"/>
        </w:numPr>
      </w:pPr>
      <w:r>
        <w:t>Consistent file naming conventions</w:t>
      </w:r>
    </w:p>
    <w:p w14:paraId="3926AC01" w14:textId="77777777" w:rsidR="00BD31BB" w:rsidRDefault="00BD31BB" w:rsidP="00BD31BB">
      <w:pPr>
        <w:pStyle w:val="BodyText"/>
        <w:numPr>
          <w:ilvl w:val="1"/>
          <w:numId w:val="27"/>
        </w:numPr>
      </w:pPr>
      <w:r>
        <w:t>Consistent tab naming conventions</w:t>
      </w:r>
    </w:p>
    <w:p w14:paraId="1BA16E1E" w14:textId="77777777" w:rsidR="00BD31BB" w:rsidRDefault="00BD31BB" w:rsidP="00BD31BB">
      <w:pPr>
        <w:pStyle w:val="BodyText"/>
        <w:numPr>
          <w:ilvl w:val="1"/>
          <w:numId w:val="27"/>
        </w:numPr>
      </w:pPr>
      <w:r>
        <w:t>Consistent tab colours</w:t>
      </w:r>
    </w:p>
    <w:p w14:paraId="1B0A40E1" w14:textId="77777777" w:rsidR="00BD31BB" w:rsidRDefault="00BD31BB" w:rsidP="00BD31BB">
      <w:pPr>
        <w:pStyle w:val="BodyText"/>
        <w:numPr>
          <w:ilvl w:val="1"/>
          <w:numId w:val="27"/>
        </w:numPr>
      </w:pPr>
      <w:r>
        <w:t>Consistent font</w:t>
      </w:r>
    </w:p>
    <w:p w14:paraId="7367B241" w14:textId="402152B2" w:rsidR="00BD31BB" w:rsidRDefault="00BD31BB" w:rsidP="00BD31BB">
      <w:pPr>
        <w:pStyle w:val="BodyText"/>
        <w:numPr>
          <w:ilvl w:val="1"/>
          <w:numId w:val="27"/>
        </w:numPr>
      </w:pPr>
      <w:r>
        <w:t xml:space="preserve">Consistent format / structure for all workpapers (e.g. First tab input data, </w:t>
      </w:r>
      <w:proofErr w:type="gramStart"/>
      <w:r>
        <w:t>Second</w:t>
      </w:r>
      <w:proofErr w:type="gramEnd"/>
      <w:r>
        <w:t xml:space="preserve"> tab financial statement note or reconciliation page, Subsequent tabs supporting information)</w:t>
      </w:r>
    </w:p>
    <w:p w14:paraId="3E393249" w14:textId="6C2E627E" w:rsidR="00BD31BB" w:rsidRDefault="00BD31BB" w:rsidP="00BD31BB">
      <w:pPr>
        <w:pStyle w:val="BodyText"/>
        <w:numPr>
          <w:ilvl w:val="1"/>
          <w:numId w:val="27"/>
        </w:numPr>
        <w:rPr>
          <w:lang w:eastAsia="en-AU"/>
        </w:rPr>
      </w:pPr>
      <w:r>
        <w:t>Use tabs to separate information</w:t>
      </w:r>
    </w:p>
    <w:p w14:paraId="370E8A2C" w14:textId="77777777" w:rsidR="004C50D9" w:rsidRPr="00266B33" w:rsidRDefault="004C50D9" w:rsidP="00266B33">
      <w:pPr>
        <w:pStyle w:val="Heading3"/>
      </w:pPr>
      <w:bookmarkStart w:id="31" w:name="_Toc222755618"/>
      <w:r w:rsidRPr="00266B33">
        <w:t>Seeking auditor feedback on proposed positions</w:t>
      </w:r>
      <w:bookmarkEnd w:id="31"/>
    </w:p>
    <w:p w14:paraId="43D79938" w14:textId="77777777" w:rsidR="004C50D9" w:rsidRPr="00266B33" w:rsidRDefault="004C50D9" w:rsidP="004C50D9">
      <w:pPr>
        <w:pStyle w:val="NormalWeb"/>
        <w:shd w:val="clear" w:color="auto" w:fill="FFFFFF"/>
        <w:rPr>
          <w:rFonts w:asciiTheme="minorHAnsi" w:hAnsiTheme="minorHAnsi" w:cs="Segoe UI"/>
          <w:color w:val="3B3B3B"/>
          <w:sz w:val="22"/>
          <w:szCs w:val="22"/>
        </w:rPr>
      </w:pPr>
      <w:r w:rsidRPr="00266B33">
        <w:rPr>
          <w:rFonts w:asciiTheme="minorHAnsi" w:hAnsiTheme="minorHAnsi" w:cs="Segoe UI"/>
          <w:color w:val="3B3B3B"/>
          <w:sz w:val="22"/>
          <w:szCs w:val="22"/>
        </w:rPr>
        <w:t>The iterative nature of the preparation and audit processes, and the ongoing dialogue between the financial statements team and the auditor will often involve discussions about the interpretation and application of appropriate accounting standards, policies and procedures.</w:t>
      </w:r>
    </w:p>
    <w:p w14:paraId="411DCE03" w14:textId="55BDFF9F" w:rsidR="004C50D9" w:rsidRPr="00266B33" w:rsidRDefault="004C50D9" w:rsidP="004C50D9">
      <w:pPr>
        <w:pStyle w:val="NormalWeb"/>
        <w:shd w:val="clear" w:color="auto" w:fill="FFFFFF"/>
        <w:rPr>
          <w:rFonts w:asciiTheme="minorHAnsi" w:hAnsiTheme="minorHAnsi" w:cs="Segoe UI"/>
          <w:color w:val="3B3B3B"/>
          <w:sz w:val="22"/>
          <w:szCs w:val="22"/>
        </w:rPr>
      </w:pPr>
      <w:r w:rsidRPr="00266B33">
        <w:rPr>
          <w:rFonts w:asciiTheme="minorHAnsi" w:hAnsiTheme="minorHAnsi" w:cs="Segoe UI"/>
          <w:color w:val="3B3B3B"/>
          <w:sz w:val="22"/>
          <w:szCs w:val="22"/>
        </w:rPr>
        <w:lastRenderedPageBreak/>
        <w:t>It is recognised that clarification and/or confirmation of the agency’s proposed position on a range of minor technical and procedural matters is part and parcel of an ongoing relationship between the entity and the auditor, and these would generally be resolved during regular dialogue between the parties.</w:t>
      </w:r>
    </w:p>
    <w:p w14:paraId="6AEBFA25" w14:textId="021C41F3" w:rsidR="004C50D9" w:rsidRDefault="004C50D9">
      <w:pPr>
        <w:pStyle w:val="NormalWeb"/>
        <w:shd w:val="clear" w:color="auto" w:fill="FFFFFF"/>
        <w:rPr>
          <w:rFonts w:asciiTheme="minorHAnsi" w:hAnsiTheme="minorHAnsi" w:cs="Segoe UI"/>
          <w:color w:val="3B3B3B"/>
          <w:sz w:val="22"/>
          <w:szCs w:val="22"/>
        </w:rPr>
      </w:pPr>
      <w:r w:rsidRPr="00266B33">
        <w:rPr>
          <w:rFonts w:asciiTheme="minorHAnsi" w:hAnsiTheme="minorHAnsi" w:cs="Segoe UI"/>
          <w:color w:val="3B3B3B"/>
          <w:sz w:val="22"/>
          <w:szCs w:val="22"/>
        </w:rPr>
        <w:t>Leaving significant issues ‘on the back burner</w:t>
      </w:r>
      <w:proofErr w:type="gramStart"/>
      <w:r w:rsidRPr="00266B33">
        <w:rPr>
          <w:rFonts w:asciiTheme="minorHAnsi" w:hAnsiTheme="minorHAnsi" w:cs="Segoe UI"/>
          <w:color w:val="3B3B3B"/>
          <w:sz w:val="22"/>
          <w:szCs w:val="22"/>
        </w:rPr>
        <w:t>’, or</w:t>
      </w:r>
      <w:proofErr w:type="gramEnd"/>
      <w:r w:rsidRPr="00266B33">
        <w:rPr>
          <w:rFonts w:asciiTheme="minorHAnsi" w:hAnsiTheme="minorHAnsi" w:cs="Segoe UI"/>
          <w:color w:val="3B3B3B"/>
          <w:sz w:val="22"/>
          <w:szCs w:val="22"/>
        </w:rPr>
        <w:t xml:space="preserve"> not discussing the agency’s proposed approach to addressing them with the auditor, increases the risk that the issue will affect the timely finalisation and audit of the financial statements or the audit of specific elements, account or items of the agency’s financial statement.</w:t>
      </w:r>
    </w:p>
    <w:p w14:paraId="3E222719" w14:textId="45D4D06C" w:rsidR="00AA1FAF" w:rsidRPr="00266B33" w:rsidRDefault="00AA1FAF" w:rsidP="00266B33">
      <w:pPr>
        <w:pStyle w:val="NormalWeb"/>
        <w:shd w:val="clear" w:color="auto" w:fill="FFFFFF"/>
        <w:rPr>
          <w:rFonts w:asciiTheme="minorHAnsi" w:hAnsiTheme="minorHAnsi" w:cs="Segoe UI"/>
          <w:color w:val="3B3B3B"/>
        </w:rPr>
      </w:pPr>
      <w:r>
        <w:rPr>
          <w:rFonts w:asciiTheme="minorHAnsi" w:hAnsiTheme="minorHAnsi" w:cs="Segoe UI"/>
          <w:color w:val="3B3B3B"/>
          <w:sz w:val="22"/>
          <w:szCs w:val="22"/>
        </w:rPr>
        <w:t xml:space="preserve">It is good to have these discussions as soon as possible, with agency documentation shared so that the audit team can review, discuss with the </w:t>
      </w:r>
      <w:r w:rsidR="008C4166" w:rsidRPr="008C4166">
        <w:rPr>
          <w:rFonts w:asciiTheme="minorHAnsi" w:hAnsiTheme="minorHAnsi" w:cs="Segoe UI"/>
          <w:color w:val="3B3B3B"/>
          <w:sz w:val="22"/>
          <w:szCs w:val="22"/>
        </w:rPr>
        <w:t>Northern Territory Auditor-General’s Office</w:t>
      </w:r>
      <w:r>
        <w:rPr>
          <w:rFonts w:asciiTheme="minorHAnsi" w:hAnsiTheme="minorHAnsi" w:cs="Segoe UI"/>
          <w:color w:val="3B3B3B"/>
          <w:sz w:val="22"/>
          <w:szCs w:val="22"/>
        </w:rPr>
        <w:t>, and confirm the accounting position.  Delays in dealing with technical accounting treatment can delay the completion of the audit</w:t>
      </w:r>
      <w:r w:rsidR="008C4166">
        <w:rPr>
          <w:rFonts w:asciiTheme="minorHAnsi" w:hAnsiTheme="minorHAnsi" w:cs="Segoe UI"/>
          <w:color w:val="3B3B3B"/>
          <w:sz w:val="22"/>
          <w:szCs w:val="22"/>
        </w:rPr>
        <w:t>.</w:t>
      </w:r>
    </w:p>
    <w:p w14:paraId="0628BC9D" w14:textId="59A69E36" w:rsidR="00D50F37" w:rsidRDefault="007949DF" w:rsidP="00266B33">
      <w:pPr>
        <w:pStyle w:val="Heading3"/>
      </w:pPr>
      <w:bookmarkStart w:id="32" w:name="_Toc222755619"/>
      <w:r>
        <w:t>Ensure</w:t>
      </w:r>
      <w:r w:rsidRPr="007949DF">
        <w:t xml:space="preserve"> </w:t>
      </w:r>
      <w:r>
        <w:t>c</w:t>
      </w:r>
      <w:r w:rsidRPr="007949DF">
        <w:t xml:space="preserve">lear and </w:t>
      </w:r>
      <w:r>
        <w:t>t</w:t>
      </w:r>
      <w:r w:rsidRPr="007949DF">
        <w:t xml:space="preserve">imely </w:t>
      </w:r>
      <w:r>
        <w:t>i</w:t>
      </w:r>
      <w:r w:rsidRPr="007949DF">
        <w:t xml:space="preserve">nformation </w:t>
      </w:r>
      <w:r>
        <w:t>f</w:t>
      </w:r>
      <w:r w:rsidRPr="007949DF">
        <w:t>low</w:t>
      </w:r>
      <w:bookmarkEnd w:id="32"/>
    </w:p>
    <w:p w14:paraId="1734C9C1" w14:textId="36DBF874" w:rsidR="007949DF" w:rsidRPr="00393820" w:rsidRDefault="007949DF" w:rsidP="007949DF">
      <w:pPr>
        <w:numPr>
          <w:ilvl w:val="0"/>
          <w:numId w:val="28"/>
        </w:numPr>
        <w:rPr>
          <w:lang w:eastAsia="en-AU"/>
        </w:rPr>
      </w:pPr>
      <w:r w:rsidRPr="00393820">
        <w:rPr>
          <w:lang w:eastAsia="en-AU"/>
        </w:rPr>
        <w:t>Use a</w:t>
      </w:r>
      <w:r w:rsidR="002928C4" w:rsidRPr="00393820">
        <w:rPr>
          <w:lang w:eastAsia="en-AU"/>
        </w:rPr>
        <w:t xml:space="preserve"> central </w:t>
      </w:r>
      <w:r w:rsidRPr="00393820">
        <w:rPr>
          <w:lang w:eastAsia="en-AU"/>
        </w:rPr>
        <w:t xml:space="preserve">audit tracker to log audit </w:t>
      </w:r>
      <w:r w:rsidR="00FC6D45">
        <w:rPr>
          <w:lang w:eastAsia="en-AU"/>
        </w:rPr>
        <w:t>queries</w:t>
      </w:r>
      <w:r w:rsidRPr="00393820">
        <w:rPr>
          <w:lang w:eastAsia="en-AU"/>
        </w:rPr>
        <w:t xml:space="preserve">, </w:t>
      </w:r>
      <w:r w:rsidR="002928C4" w:rsidRPr="00393820">
        <w:rPr>
          <w:lang w:eastAsia="en-AU"/>
        </w:rPr>
        <w:t xml:space="preserve">assign tasks to </w:t>
      </w:r>
      <w:r w:rsidR="00D50F37" w:rsidRPr="00393820">
        <w:rPr>
          <w:lang w:eastAsia="en-AU"/>
        </w:rPr>
        <w:t xml:space="preserve">action officers, </w:t>
      </w:r>
      <w:r w:rsidRPr="00393820">
        <w:rPr>
          <w:lang w:eastAsia="en-AU"/>
        </w:rPr>
        <w:t>status and response</w:t>
      </w:r>
      <w:r w:rsidR="00D50F37" w:rsidRPr="00393820">
        <w:rPr>
          <w:lang w:eastAsia="en-AU"/>
        </w:rPr>
        <w:t xml:space="preserve"> date</w:t>
      </w:r>
      <w:r w:rsidR="00954AA7" w:rsidRPr="00393820">
        <w:rPr>
          <w:lang w:eastAsia="en-AU"/>
        </w:rPr>
        <w:t xml:space="preserve">. </w:t>
      </w:r>
      <w:r w:rsidR="00FC6D45" w:rsidRPr="00393820">
        <w:rPr>
          <w:lang w:eastAsia="en-AU"/>
        </w:rPr>
        <w:t>Also refer to section 2.9 of this guidance.</w:t>
      </w:r>
    </w:p>
    <w:p w14:paraId="037F6CC6" w14:textId="26747836" w:rsidR="00F60EB2" w:rsidRPr="007949DF" w:rsidRDefault="00F60EB2" w:rsidP="00F60EB2">
      <w:pPr>
        <w:pStyle w:val="ListParagraph"/>
        <w:numPr>
          <w:ilvl w:val="0"/>
          <w:numId w:val="28"/>
        </w:numPr>
        <w:rPr>
          <w:lang w:eastAsia="en-AU"/>
        </w:rPr>
      </w:pPr>
      <w:r>
        <w:rPr>
          <w:lang w:eastAsia="en-AU"/>
        </w:rPr>
        <w:t>Use a generic email account for all queries</w:t>
      </w:r>
    </w:p>
    <w:p w14:paraId="4C3D367B" w14:textId="3999C433" w:rsidR="00F60EB2" w:rsidRPr="00F60EB2" w:rsidRDefault="00F60EB2" w:rsidP="00F60EB2">
      <w:pPr>
        <w:pStyle w:val="BodyText"/>
        <w:numPr>
          <w:ilvl w:val="1"/>
          <w:numId w:val="28"/>
        </w:numPr>
      </w:pPr>
      <w:r w:rsidRPr="00F60EB2">
        <w:t xml:space="preserve">Restrict access to the CFO, </w:t>
      </w:r>
      <w:r>
        <w:t>and other senior finance officers</w:t>
      </w:r>
    </w:p>
    <w:p w14:paraId="635FFD13" w14:textId="4D188E83" w:rsidR="00F60EB2" w:rsidRPr="00F60EB2" w:rsidRDefault="00F60EB2" w:rsidP="00F60EB2">
      <w:pPr>
        <w:pStyle w:val="BodyText"/>
        <w:numPr>
          <w:ilvl w:val="1"/>
          <w:numId w:val="28"/>
        </w:numPr>
      </w:pPr>
      <w:r w:rsidRPr="00F60EB2">
        <w:t>Add</w:t>
      </w:r>
      <w:r>
        <w:t xml:space="preserve"> the generic</w:t>
      </w:r>
      <w:r w:rsidRPr="00F60EB2">
        <w:t xml:space="preserve"> </w:t>
      </w:r>
      <w:r>
        <w:t>i</w:t>
      </w:r>
      <w:r w:rsidRPr="00F60EB2">
        <w:t>nbox as a favourite in MS Outlook</w:t>
      </w:r>
      <w:r>
        <w:t xml:space="preserve"> to assigned users</w:t>
      </w:r>
      <w:r w:rsidRPr="00F60EB2">
        <w:t xml:space="preserve">, so that new messages </w:t>
      </w:r>
      <w:r>
        <w:t xml:space="preserve">are </w:t>
      </w:r>
      <w:r w:rsidRPr="00F60EB2">
        <w:t>immediately visible</w:t>
      </w:r>
    </w:p>
    <w:p w14:paraId="5C51B966" w14:textId="6DF54E75" w:rsidR="00F60EB2" w:rsidRPr="00F60EB2" w:rsidRDefault="00F60EB2" w:rsidP="00F60EB2">
      <w:pPr>
        <w:pStyle w:val="BodyText"/>
        <w:numPr>
          <w:ilvl w:val="1"/>
          <w:numId w:val="28"/>
        </w:numPr>
      </w:pPr>
      <w:r>
        <w:t xml:space="preserve">Flag </w:t>
      </w:r>
      <w:r w:rsidRPr="00F60EB2">
        <w:t>and allocat</w:t>
      </w:r>
      <w:r>
        <w:t>e queries</w:t>
      </w:r>
      <w:r w:rsidRPr="00F60EB2">
        <w:t xml:space="preserve"> for response to </w:t>
      </w:r>
      <w:r>
        <w:t xml:space="preserve">the appropriate officer </w:t>
      </w:r>
      <w:r w:rsidRPr="00F60EB2">
        <w:t xml:space="preserve">using categories (i.e. colour coding). That person </w:t>
      </w:r>
      <w:r>
        <w:t xml:space="preserve">is </w:t>
      </w:r>
      <w:r w:rsidRPr="00F60EB2">
        <w:t>then responsible for coordinating and providing a response to the auditor</w:t>
      </w:r>
      <w:r>
        <w:t>s</w:t>
      </w:r>
    </w:p>
    <w:p w14:paraId="464265FB" w14:textId="7E37D240" w:rsidR="00F60EB2" w:rsidRPr="00F60EB2" w:rsidRDefault="00F60EB2" w:rsidP="00F60EB2">
      <w:pPr>
        <w:pStyle w:val="BodyText"/>
        <w:numPr>
          <w:ilvl w:val="1"/>
          <w:numId w:val="28"/>
        </w:numPr>
      </w:pPr>
      <w:r w:rsidRPr="00F60EB2">
        <w:t xml:space="preserve">Only outstanding responses </w:t>
      </w:r>
      <w:r>
        <w:t xml:space="preserve">should be </w:t>
      </w:r>
      <w:r w:rsidRPr="00F60EB2">
        <w:t xml:space="preserve">left in the inbox. All </w:t>
      </w:r>
      <w:r>
        <w:t xml:space="preserve">actioned </w:t>
      </w:r>
      <w:r w:rsidRPr="00F60EB2">
        <w:t xml:space="preserve">queries </w:t>
      </w:r>
      <w:r>
        <w:t>should be</w:t>
      </w:r>
      <w:r w:rsidRPr="00F60EB2">
        <w:t xml:space="preserve"> immediately filed into a subfolder (e.g. 2024-25 EOY Review)</w:t>
      </w:r>
    </w:p>
    <w:p w14:paraId="7C4F258C" w14:textId="42200909" w:rsidR="00F60EB2" w:rsidRPr="00F60EB2" w:rsidRDefault="00F60EB2" w:rsidP="00F60EB2">
      <w:pPr>
        <w:pStyle w:val="BodyText"/>
        <w:numPr>
          <w:ilvl w:val="1"/>
          <w:numId w:val="28"/>
        </w:numPr>
      </w:pPr>
      <w:r w:rsidRPr="00F60EB2">
        <w:t xml:space="preserve">All responses to queries </w:t>
      </w:r>
      <w:r>
        <w:t xml:space="preserve">should be </w:t>
      </w:r>
      <w:r w:rsidRPr="00F60EB2">
        <w:t xml:space="preserve">sent from the generic email account </w:t>
      </w:r>
      <w:r>
        <w:rPr>
          <w:b/>
          <w:bCs/>
          <w:u w:val="single"/>
        </w:rPr>
        <w:t>OR</w:t>
      </w:r>
      <w:r w:rsidRPr="00F60EB2">
        <w:t xml:space="preserve"> the generic email account </w:t>
      </w:r>
      <w:proofErr w:type="spellStart"/>
      <w:r w:rsidRPr="00F60EB2">
        <w:t>CC’d</w:t>
      </w:r>
      <w:proofErr w:type="spellEnd"/>
      <w:r w:rsidRPr="00F60EB2">
        <w:t xml:space="preserve">, so that the inbox </w:t>
      </w:r>
      <w:r>
        <w:t xml:space="preserve">has </w:t>
      </w:r>
      <w:r w:rsidRPr="00F60EB2">
        <w:t>a record of all queries received and the response provided</w:t>
      </w:r>
    </w:p>
    <w:p w14:paraId="4AC505E1" w14:textId="4FD796F2" w:rsidR="00F60EB2" w:rsidRDefault="00F60EB2" w:rsidP="00F60EB2">
      <w:pPr>
        <w:pStyle w:val="BodyText"/>
        <w:numPr>
          <w:ilvl w:val="1"/>
          <w:numId w:val="28"/>
        </w:numPr>
      </w:pPr>
      <w:r>
        <w:t>Ensure org ID and item reference is included in the email</w:t>
      </w:r>
      <w:r w:rsidRPr="00F60EB2">
        <w:t xml:space="preserve"> subject line (e.g. A</w:t>
      </w:r>
      <w:r>
        <w:t>XX EXAMPLE AGENCY</w:t>
      </w:r>
      <w:r w:rsidRPr="00F60EB2">
        <w:t xml:space="preserve"> CAP Item 1 – XXXX)</w:t>
      </w:r>
      <w:r>
        <w:t xml:space="preserve"> to assist with tracking and avoid confusion for auditors</w:t>
      </w:r>
      <w:r w:rsidR="00AA1FAF">
        <w:t>.  Auditors may be working on several agency audits at one time</w:t>
      </w:r>
    </w:p>
    <w:p w14:paraId="06270351" w14:textId="49C7CFB6" w:rsidR="00AE7304" w:rsidRPr="007949DF" w:rsidRDefault="00AE7304" w:rsidP="00F60EB2">
      <w:pPr>
        <w:pStyle w:val="BodyText"/>
        <w:numPr>
          <w:ilvl w:val="1"/>
          <w:numId w:val="28"/>
        </w:numPr>
      </w:pPr>
      <w:r>
        <w:t xml:space="preserve">If audit queries require input or responses from </w:t>
      </w:r>
      <w:r w:rsidR="00FC6D45">
        <w:t>another division</w:t>
      </w:r>
      <w:r>
        <w:t xml:space="preserve">, </w:t>
      </w:r>
      <w:r w:rsidR="00FC6D45">
        <w:t xml:space="preserve">the finance officer assigned to the query should coordinate </w:t>
      </w:r>
      <w:r w:rsidR="00F07DA0">
        <w:t>these responses</w:t>
      </w:r>
      <w:r w:rsidR="00FC6D45">
        <w:t xml:space="preserve">. The finance division </w:t>
      </w:r>
      <w:r w:rsidR="00F07DA0">
        <w:t>should review</w:t>
      </w:r>
      <w:r w:rsidR="00FC6D45">
        <w:t xml:space="preserve"> th</w:t>
      </w:r>
      <w:r w:rsidR="00F07DA0">
        <w:t>e</w:t>
      </w:r>
      <w:r w:rsidR="00FC6D45">
        <w:t xml:space="preserve"> responses to ensure they satisfy the audit queries before providing it to the auditor. </w:t>
      </w:r>
      <w:r w:rsidR="00F07DA0">
        <w:t>The finance officer assigned to coordinate these responses can then ensure the audit queries tracker/log is up to date</w:t>
      </w:r>
      <w:r w:rsidR="00FC6D45">
        <w:t>.</w:t>
      </w:r>
    </w:p>
    <w:p w14:paraId="4E454ADE" w14:textId="685F1F03" w:rsidR="00D50F37" w:rsidRPr="00D50F37" w:rsidRDefault="00F60EB2" w:rsidP="00F60EB2">
      <w:pPr>
        <w:numPr>
          <w:ilvl w:val="0"/>
          <w:numId w:val="28"/>
        </w:numPr>
        <w:rPr>
          <w:lang w:eastAsia="en-AU"/>
        </w:rPr>
      </w:pPr>
      <w:r>
        <w:rPr>
          <w:lang w:eastAsia="en-AU"/>
        </w:rPr>
        <w:t>Prioritise responses to queries and r</w:t>
      </w:r>
      <w:r w:rsidR="007949DF" w:rsidRPr="007949DF">
        <w:rPr>
          <w:lang w:eastAsia="en-AU"/>
        </w:rPr>
        <w:t>espond promptly</w:t>
      </w:r>
      <w:r>
        <w:rPr>
          <w:lang w:eastAsia="en-AU"/>
        </w:rPr>
        <w:t xml:space="preserve"> </w:t>
      </w:r>
      <w:r w:rsidR="007949DF" w:rsidRPr="007949DF">
        <w:rPr>
          <w:lang w:eastAsia="en-AU"/>
        </w:rPr>
        <w:t>—</w:t>
      </w:r>
      <w:r>
        <w:rPr>
          <w:lang w:eastAsia="en-AU"/>
        </w:rPr>
        <w:t xml:space="preserve"> </w:t>
      </w:r>
      <w:r w:rsidR="007949DF" w:rsidRPr="007949DF">
        <w:rPr>
          <w:lang w:eastAsia="en-AU"/>
        </w:rPr>
        <w:t>even if</w:t>
      </w:r>
      <w:r w:rsidR="002928C4" w:rsidRPr="002928C4">
        <w:rPr>
          <w:lang w:eastAsia="en-AU"/>
        </w:rPr>
        <w:t xml:space="preserve"> just with an estimated time for completion</w:t>
      </w:r>
    </w:p>
    <w:p w14:paraId="77859EDE" w14:textId="409C2550" w:rsidR="00C14069" w:rsidRDefault="00D50F37" w:rsidP="00D50F37">
      <w:pPr>
        <w:pStyle w:val="BodyText"/>
        <w:numPr>
          <w:ilvl w:val="0"/>
          <w:numId w:val="28"/>
        </w:numPr>
        <w:rPr>
          <w:lang w:eastAsia="en-AU"/>
        </w:rPr>
      </w:pPr>
      <w:r w:rsidRPr="00D50F37">
        <w:rPr>
          <w:lang w:eastAsia="en-AU"/>
        </w:rPr>
        <w:t>Maintain open, respectful, and transparent dialogue</w:t>
      </w:r>
      <w:r w:rsidR="00634FD6">
        <w:rPr>
          <w:lang w:eastAsia="en-AU"/>
        </w:rPr>
        <w:t>, and ensure the Chief Financial Officer attends all audit meetings</w:t>
      </w:r>
    </w:p>
    <w:p w14:paraId="78A081B0" w14:textId="713B3FF7" w:rsidR="00D50F37" w:rsidRDefault="00C14069" w:rsidP="00C14069">
      <w:pPr>
        <w:rPr>
          <w:lang w:eastAsia="en-AU"/>
        </w:rPr>
      </w:pPr>
      <w:r>
        <w:rPr>
          <w:lang w:eastAsia="en-AU"/>
        </w:rPr>
        <w:br w:type="page"/>
      </w:r>
    </w:p>
    <w:p w14:paraId="6409E582" w14:textId="17EE5010" w:rsidR="00D50F37" w:rsidRPr="00D50F37" w:rsidRDefault="00D50F37" w:rsidP="00266B33">
      <w:pPr>
        <w:pStyle w:val="Heading3"/>
      </w:pPr>
      <w:bookmarkStart w:id="33" w:name="_Toc222755620"/>
      <w:r w:rsidRPr="00D50F37">
        <w:lastRenderedPageBreak/>
        <w:t xml:space="preserve">Review </w:t>
      </w:r>
      <w:r>
        <w:t>a</w:t>
      </w:r>
      <w:r w:rsidRPr="00D50F37">
        <w:t xml:space="preserve">udit </w:t>
      </w:r>
      <w:r>
        <w:t>f</w:t>
      </w:r>
      <w:r w:rsidRPr="00D50F37">
        <w:t xml:space="preserve">indings and </w:t>
      </w:r>
      <w:r>
        <w:t>i</w:t>
      </w:r>
      <w:r w:rsidRPr="00D50F37">
        <w:t xml:space="preserve">mplement </w:t>
      </w:r>
      <w:r>
        <w:t>i</w:t>
      </w:r>
      <w:r w:rsidRPr="00D50F37">
        <w:t>mprovements</w:t>
      </w:r>
      <w:bookmarkEnd w:id="33"/>
    </w:p>
    <w:p w14:paraId="6AB688D6" w14:textId="77777777" w:rsidR="00D50F37" w:rsidRPr="00D50F37" w:rsidRDefault="00D50F37" w:rsidP="00D50F37">
      <w:pPr>
        <w:pStyle w:val="BodyText"/>
        <w:rPr>
          <w:lang w:eastAsia="en-AU"/>
        </w:rPr>
      </w:pPr>
      <w:r w:rsidRPr="00D50F37">
        <w:rPr>
          <w:lang w:eastAsia="en-AU"/>
        </w:rPr>
        <w:t>At audit conclusion:</w:t>
      </w:r>
    </w:p>
    <w:p w14:paraId="2BFAAB2D" w14:textId="418E3DB0" w:rsidR="00D50F37" w:rsidRPr="00D50F37" w:rsidRDefault="00D50F37" w:rsidP="00D50F37">
      <w:pPr>
        <w:pStyle w:val="BodyText"/>
        <w:numPr>
          <w:ilvl w:val="0"/>
          <w:numId w:val="30"/>
        </w:numPr>
        <w:rPr>
          <w:lang w:eastAsia="en-AU"/>
        </w:rPr>
      </w:pPr>
      <w:r w:rsidRPr="00D50F37">
        <w:rPr>
          <w:lang w:eastAsia="en-AU"/>
        </w:rPr>
        <w:t>Review any findings or management letter points</w:t>
      </w:r>
    </w:p>
    <w:p w14:paraId="4A85B996" w14:textId="08E1519F" w:rsidR="00D50F37" w:rsidRPr="00D50F37" w:rsidRDefault="00D50F37" w:rsidP="00D50F37">
      <w:pPr>
        <w:pStyle w:val="BodyText"/>
        <w:numPr>
          <w:ilvl w:val="0"/>
          <w:numId w:val="30"/>
        </w:numPr>
        <w:rPr>
          <w:lang w:eastAsia="en-AU"/>
        </w:rPr>
      </w:pPr>
      <w:r w:rsidRPr="00D50F37">
        <w:rPr>
          <w:lang w:eastAsia="en-AU"/>
        </w:rPr>
        <w:t>Translate recommendations into actionable improvements for the next cycle</w:t>
      </w:r>
    </w:p>
    <w:p w14:paraId="072D79FA" w14:textId="79A6C90A" w:rsidR="00D50F37" w:rsidRDefault="00634FD6" w:rsidP="00D50F37">
      <w:pPr>
        <w:pStyle w:val="BodyText"/>
        <w:numPr>
          <w:ilvl w:val="0"/>
          <w:numId w:val="30"/>
        </w:numPr>
        <w:rPr>
          <w:lang w:eastAsia="en-AU"/>
        </w:rPr>
      </w:pPr>
      <w:r>
        <w:rPr>
          <w:lang w:eastAsia="en-AU"/>
        </w:rPr>
        <w:t>Assign tasks to action officers to u</w:t>
      </w:r>
      <w:r w:rsidR="00D50F37" w:rsidRPr="00D50F37">
        <w:rPr>
          <w:lang w:eastAsia="en-AU"/>
        </w:rPr>
        <w:t>pdate policies, checklists, and controls accordingly</w:t>
      </w:r>
    </w:p>
    <w:p w14:paraId="6280E30D" w14:textId="77777777" w:rsidR="00634FD6" w:rsidRPr="00D50F37" w:rsidRDefault="00634FD6" w:rsidP="00634FD6">
      <w:pPr>
        <w:pStyle w:val="BodyText"/>
        <w:ind w:left="720"/>
        <w:rPr>
          <w:lang w:eastAsia="en-AU"/>
        </w:rPr>
      </w:pPr>
    </w:p>
    <w:p w14:paraId="08A8B5BF" w14:textId="77777777" w:rsidR="00201635" w:rsidRPr="00266B33" w:rsidRDefault="00201635" w:rsidP="00266B33">
      <w:pPr>
        <w:pStyle w:val="Heading2"/>
        <w:rPr>
          <w:bCs w:val="0"/>
        </w:rPr>
      </w:pPr>
      <w:bookmarkStart w:id="34" w:name="_Toc222755621"/>
      <w:r w:rsidRPr="00266B33">
        <w:t>The role of the audit committee in the external audit</w:t>
      </w:r>
      <w:bookmarkEnd w:id="34"/>
    </w:p>
    <w:p w14:paraId="4B510B3F" w14:textId="7C0DEB35" w:rsidR="00201635" w:rsidRPr="00201635" w:rsidRDefault="002C3409" w:rsidP="00201635">
      <w:pPr>
        <w:pStyle w:val="BodyText"/>
        <w:rPr>
          <w:lang w:eastAsia="en-AU"/>
        </w:rPr>
      </w:pPr>
      <w:r>
        <w:rPr>
          <w:lang w:eastAsia="en-AU"/>
        </w:rPr>
        <w:t>The Auditor-General should be invited to agency’s</w:t>
      </w:r>
      <w:r w:rsidR="00201635" w:rsidRPr="00201635">
        <w:rPr>
          <w:lang w:eastAsia="en-AU"/>
        </w:rPr>
        <w:t xml:space="preserve"> audit committee meetings as </w:t>
      </w:r>
      <w:r w:rsidR="00AA1FAF">
        <w:rPr>
          <w:lang w:eastAsia="en-AU"/>
        </w:rPr>
        <w:t xml:space="preserve">an </w:t>
      </w:r>
      <w:r w:rsidR="00201635" w:rsidRPr="00201635">
        <w:rPr>
          <w:lang w:eastAsia="en-AU"/>
        </w:rPr>
        <w:t>observer</w:t>
      </w:r>
      <w:r>
        <w:rPr>
          <w:lang w:eastAsia="en-AU"/>
        </w:rPr>
        <w:t xml:space="preserve"> </w:t>
      </w:r>
      <w:r w:rsidR="00AA1FAF">
        <w:rPr>
          <w:lang w:eastAsia="en-AU"/>
        </w:rPr>
        <w:t xml:space="preserve">to </w:t>
      </w:r>
      <w:r>
        <w:rPr>
          <w:lang w:eastAsia="en-AU"/>
        </w:rPr>
        <w:t xml:space="preserve">be </w:t>
      </w:r>
      <w:r w:rsidR="00201635" w:rsidRPr="00201635">
        <w:rPr>
          <w:lang w:eastAsia="en-AU"/>
        </w:rPr>
        <w:t>able to speak to matters relating to the audit and provide other assistance to the audit committee as required.</w:t>
      </w:r>
    </w:p>
    <w:p w14:paraId="0F2F126C" w14:textId="37D1AD1F" w:rsidR="00D50F37" w:rsidRPr="00D50F37" w:rsidRDefault="002C3409" w:rsidP="00D50F37">
      <w:pPr>
        <w:pStyle w:val="BodyText"/>
        <w:rPr>
          <w:lang w:eastAsia="en-AU"/>
        </w:rPr>
      </w:pPr>
      <w:r w:rsidRPr="002C3409">
        <w:rPr>
          <w:lang w:eastAsia="en-AU"/>
        </w:rPr>
        <w:t xml:space="preserve">Important matters that may be discussed by the audit committee and the </w:t>
      </w:r>
      <w:r>
        <w:rPr>
          <w:lang w:eastAsia="en-AU"/>
        </w:rPr>
        <w:t>Auditor-General</w:t>
      </w:r>
      <w:r w:rsidRPr="002C3409">
        <w:rPr>
          <w:lang w:eastAsia="en-AU"/>
        </w:rPr>
        <w:t xml:space="preserve"> </w:t>
      </w:r>
      <w:r>
        <w:rPr>
          <w:lang w:eastAsia="en-AU"/>
        </w:rPr>
        <w:t xml:space="preserve">in relation to the audit of </w:t>
      </w:r>
      <w:r w:rsidR="00AA1FAF">
        <w:rPr>
          <w:lang w:eastAsia="en-AU"/>
        </w:rPr>
        <w:t>agency</w:t>
      </w:r>
      <w:r>
        <w:rPr>
          <w:lang w:eastAsia="en-AU"/>
        </w:rPr>
        <w:t xml:space="preserve"> financial statements as directed by the Treasurer include:</w:t>
      </w:r>
    </w:p>
    <w:p w14:paraId="796378D3" w14:textId="7675F01A" w:rsidR="002C3409" w:rsidRDefault="002C3409" w:rsidP="002C3409">
      <w:pPr>
        <w:numPr>
          <w:ilvl w:val="0"/>
          <w:numId w:val="52"/>
        </w:numPr>
      </w:pPr>
      <w:r w:rsidRPr="002C3409">
        <w:t xml:space="preserve">how significant risks of material misstatement are being addressed by the </w:t>
      </w:r>
      <w:r>
        <w:t>agency</w:t>
      </w:r>
      <w:r w:rsidRPr="002C3409">
        <w:t xml:space="preserve"> (whether due to fraud or error), the controls in place to handle such risks and how well they are being managed</w:t>
      </w:r>
    </w:p>
    <w:p w14:paraId="11506E78" w14:textId="0DDA8FA2" w:rsidR="002C3409" w:rsidRPr="00266B33" w:rsidRDefault="002C3409" w:rsidP="00266B33">
      <w:pPr>
        <w:numPr>
          <w:ilvl w:val="0"/>
          <w:numId w:val="52"/>
        </w:numPr>
      </w:pPr>
      <w:r w:rsidRPr="00266B33">
        <w:t>the agency’s approach to any developments or changes in accounting standards</w:t>
      </w:r>
    </w:p>
    <w:p w14:paraId="5190C046" w14:textId="77777777" w:rsidR="002C3409" w:rsidRPr="00266B33" w:rsidRDefault="002C3409" w:rsidP="00266B33">
      <w:pPr>
        <w:numPr>
          <w:ilvl w:val="0"/>
          <w:numId w:val="52"/>
        </w:numPr>
      </w:pPr>
      <w:r w:rsidRPr="00266B33">
        <w:t>the approach adopted in relation to materiality in the preparation of the financial statements, and the qualitative and quantitative factors that are considered when making materiality judgements, with a view to improving the relevance and readability of the financial statements</w:t>
      </w:r>
    </w:p>
    <w:p w14:paraId="2093A318" w14:textId="15E9CD72" w:rsidR="002C3409" w:rsidRDefault="002C3409" w:rsidP="002C3409">
      <w:pPr>
        <w:numPr>
          <w:ilvl w:val="0"/>
          <w:numId w:val="52"/>
        </w:numPr>
      </w:pPr>
      <w:r w:rsidRPr="00266B33">
        <w:t>significant estimates and judgements used in the preparation of the financial statements</w:t>
      </w:r>
      <w:r>
        <w:t>.</w:t>
      </w:r>
    </w:p>
    <w:p w14:paraId="324AE51A" w14:textId="313B7C46" w:rsidR="000A1CB0" w:rsidRPr="000A1CB0" w:rsidRDefault="002C3409" w:rsidP="000A1CB0">
      <w:r>
        <w:t>In any case, the audit committee should monitor</w:t>
      </w:r>
      <w:r w:rsidRPr="002C3409">
        <w:t xml:space="preserve"> progress</w:t>
      </w:r>
      <w:r w:rsidRPr="00266B33">
        <w:t xml:space="preserve"> by the </w:t>
      </w:r>
      <w:r>
        <w:t>agency</w:t>
      </w:r>
      <w:r w:rsidRPr="00266B33">
        <w:t xml:space="preserve"> in addressing previous audit findings and implementing audit recommendations</w:t>
      </w:r>
      <w:r>
        <w:t xml:space="preserve">. </w:t>
      </w:r>
    </w:p>
    <w:sectPr w:rsidR="000A1CB0" w:rsidRPr="000A1CB0" w:rsidSect="00C95D30">
      <w:footerReference w:type="default" r:id="rId17"/>
      <w:headerReference w:type="first" r:id="rId18"/>
      <w:pgSz w:w="11906" w:h="16838" w:code="9"/>
      <w:pgMar w:top="794" w:right="794" w:bottom="794" w:left="79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289C" w14:textId="77777777" w:rsidR="00C04645" w:rsidRDefault="00C04645">
      <w:r>
        <w:separator/>
      </w:r>
    </w:p>
  </w:endnote>
  <w:endnote w:type="continuationSeparator" w:id="0">
    <w:p w14:paraId="56272C7C" w14:textId="77777777" w:rsidR="00C04645" w:rsidRDefault="00C04645">
      <w:r>
        <w:continuationSeparator/>
      </w:r>
    </w:p>
  </w:endnote>
  <w:endnote w:type="continuationNotice" w:id="1">
    <w:p w14:paraId="06254161" w14:textId="77777777" w:rsidR="00C04645" w:rsidRDefault="00C04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5325129"/>
      <w:docPartObj>
        <w:docPartGallery w:val="Page Numbers (Bottom of Page)"/>
        <w:docPartUnique/>
      </w:docPartObj>
    </w:sdtPr>
    <w:sdtEndPr/>
    <w:sdtContent>
      <w:sdt>
        <w:sdtPr>
          <w:id w:val="34003993"/>
          <w:docPartObj>
            <w:docPartGallery w:val="Page Numbers (Top of Page)"/>
            <w:docPartUnique/>
          </w:docPartObj>
        </w:sdtPr>
        <w:sdtEndPr/>
        <w:sdtContent>
          <w:p w14:paraId="700F9CB0" w14:textId="77777777" w:rsidR="004E7885" w:rsidRDefault="004E7885" w:rsidP="004E7885">
            <w:r w:rsidRPr="004E7885">
              <w:rPr>
                <w:rStyle w:val="PageNumber"/>
              </w:rPr>
              <w:t xml:space="preserve">Page </w:t>
            </w:r>
            <w:r w:rsidRPr="004E7885">
              <w:rPr>
                <w:rStyle w:val="PageNumber"/>
              </w:rPr>
              <w:fldChar w:fldCharType="begin"/>
            </w:r>
            <w:r w:rsidRPr="004E7885">
              <w:rPr>
                <w:rStyle w:val="PageNumber"/>
              </w:rPr>
              <w:instrText xml:space="preserve"> PAGE </w:instrText>
            </w:r>
            <w:r w:rsidRPr="004E7885">
              <w:rPr>
                <w:rStyle w:val="PageNumber"/>
              </w:rPr>
              <w:fldChar w:fldCharType="separate"/>
            </w:r>
            <w:r w:rsidR="00B21CEB">
              <w:rPr>
                <w:rStyle w:val="PageNumber"/>
                <w:noProof/>
              </w:rPr>
              <w:t>2</w:t>
            </w:r>
            <w:r w:rsidRPr="004E7885">
              <w:rPr>
                <w:rStyle w:val="PageNumber"/>
              </w:rPr>
              <w:fldChar w:fldCharType="end"/>
            </w:r>
            <w:r w:rsidRPr="004E7885">
              <w:rPr>
                <w:rStyle w:val="PageNumber"/>
              </w:rPr>
              <w:t xml:space="preserve"> of </w:t>
            </w:r>
            <w:r w:rsidRPr="004E7885">
              <w:rPr>
                <w:rStyle w:val="PageNumber"/>
              </w:rPr>
              <w:fldChar w:fldCharType="begin"/>
            </w:r>
            <w:r w:rsidRPr="004E7885">
              <w:rPr>
                <w:rStyle w:val="PageNumber"/>
              </w:rPr>
              <w:instrText xml:space="preserve"> NUMPAGES  </w:instrText>
            </w:r>
            <w:r w:rsidRPr="004E7885">
              <w:rPr>
                <w:rStyle w:val="PageNumber"/>
              </w:rPr>
              <w:fldChar w:fldCharType="separate"/>
            </w:r>
            <w:r w:rsidR="001E6662">
              <w:rPr>
                <w:rStyle w:val="PageNumber"/>
                <w:noProof/>
              </w:rPr>
              <w:t>4</w:t>
            </w:r>
            <w:r w:rsidRPr="004E7885">
              <w:rPr>
                <w:rStyle w:val="PageNumber"/>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EB7C" w14:textId="77777777" w:rsidR="00964B22" w:rsidRPr="00B21CEB" w:rsidRDefault="00964B22" w:rsidP="00B21CEB">
    <w:pPr>
      <w:pStyle w:val="Head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4113" w14:textId="77777777" w:rsidR="004E7885" w:rsidRDefault="004E7885" w:rsidP="004E7885">
    <w:pPr>
      <w:pStyle w:val="Hidden"/>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AE04C" w14:textId="77777777" w:rsidR="004E7885" w:rsidRPr="00F538BD" w:rsidRDefault="004E7885" w:rsidP="004E7885">
    <w:pPr>
      <w:spacing w:after="0"/>
      <w:rPr>
        <w:sz w:val="6"/>
        <w:szCs w:val="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EB35" w14:textId="77777777" w:rsidR="009B7C35" w:rsidRPr="00A50829" w:rsidRDefault="009B7C35" w:rsidP="00A50829">
    <w:pPr>
      <w:pStyle w:val="Hidden"/>
    </w:pPr>
  </w:p>
  <w:tbl>
    <w:tblPr>
      <w:tblW w:w="10318" w:type="dxa"/>
      <w:tblBorders>
        <w:top w:val="single" w:sz="4" w:space="0" w:color="auto"/>
      </w:tblBorders>
      <w:tblCellMar>
        <w:left w:w="0" w:type="dxa"/>
        <w:right w:w="0" w:type="dxa"/>
      </w:tblCellMar>
      <w:tblLook w:val="04A0" w:firstRow="1" w:lastRow="0" w:firstColumn="1" w:lastColumn="0" w:noHBand="0" w:noVBand="1"/>
      <w:tblDescription w:val="Footer area"/>
    </w:tblPr>
    <w:tblGrid>
      <w:gridCol w:w="10318"/>
    </w:tblGrid>
    <w:tr w:rsidR="00A50829" w:rsidRPr="00132658" w14:paraId="18FB39AA" w14:textId="77777777" w:rsidTr="00AD224A">
      <w:trPr>
        <w:cantSplit/>
        <w:trHeight w:hRule="exact" w:val="850"/>
        <w:tblHeader/>
      </w:trPr>
      <w:tc>
        <w:tcPr>
          <w:tcW w:w="10318" w:type="dxa"/>
          <w:vAlign w:val="bottom"/>
        </w:tcPr>
        <w:p w14:paraId="338EF92A" w14:textId="77777777" w:rsidR="00A50829" w:rsidRDefault="00A50829" w:rsidP="00A50829">
          <w:pPr>
            <w:spacing w:after="0"/>
            <w:rPr>
              <w:rStyle w:val="PageNumber"/>
              <w:b/>
            </w:rPr>
          </w:pPr>
          <w:r>
            <w:rPr>
              <w:rStyle w:val="PageNumber"/>
            </w:rPr>
            <w:t xml:space="preserve">Department of </w:t>
          </w:r>
          <w:sdt>
            <w:sdtPr>
              <w:rPr>
                <w:rStyle w:val="PageNumber"/>
                <w:b/>
              </w:rPr>
              <w:alias w:val="Company"/>
              <w:tag w:val=""/>
              <w:id w:val="-1550452142"/>
              <w:placeholder>
                <w:docPart w:val="C6CB880113AF4FF4AFE82588BFEFB6E4"/>
              </w:placeholder>
              <w:dataBinding w:prefixMappings="xmlns:ns0='http://schemas.openxmlformats.org/officeDocument/2006/extended-properties' " w:xpath="/ns0:Properties[1]/ns0:Company[1]" w:storeItemID="{6668398D-A668-4E3E-A5EB-62B293D839F1}"/>
              <w:text w:multiLine="1"/>
            </w:sdtPr>
            <w:sdtEndPr>
              <w:rPr>
                <w:rStyle w:val="PageNumber"/>
              </w:rPr>
            </w:sdtEndPr>
            <w:sdtContent>
              <w:r w:rsidR="00DF73AC">
                <w:rPr>
                  <w:rStyle w:val="PageNumber"/>
                  <w:b/>
                </w:rPr>
                <w:t>TREASURY AND FINANCE</w:t>
              </w:r>
            </w:sdtContent>
          </w:sdt>
        </w:p>
        <w:p w14:paraId="0EF9A0D8" w14:textId="106BE691" w:rsidR="00A50829" w:rsidRPr="00CE6614" w:rsidRDefault="00C14069" w:rsidP="00A50829">
          <w:pPr>
            <w:spacing w:after="0"/>
            <w:rPr>
              <w:rStyle w:val="PageNumber"/>
            </w:rPr>
          </w:pPr>
          <w:sdt>
            <w:sdtPr>
              <w:rPr>
                <w:rStyle w:val="PageNumber"/>
              </w:rPr>
              <w:alias w:val="Date"/>
              <w:tag w:val=""/>
              <w:id w:val="1578473972"/>
              <w:placeholder>
                <w:docPart w:val="014B75258CAD4CC3A1F6A1CFA31557D1"/>
              </w:placeholder>
              <w:dataBinding w:prefixMappings="xmlns:ns0='http://schemas.microsoft.com/office/2006/coverPageProps' " w:xpath="/ns0:CoverPageProperties[1]/ns0:PublishDate[1]" w:storeItemID="{55AF091B-3C7A-41E3-B477-F2FDAA23CFDA}"/>
              <w15:color w:val="000000"/>
              <w:date w:fullDate="2026-01-26T00:00:00Z">
                <w:dateFormat w:val="d MMMM yyyy"/>
                <w:lid w:val="en-AU"/>
                <w:storeMappedDataAs w:val="dateTime"/>
                <w:calendar w:val="gregorian"/>
              </w:date>
            </w:sdtPr>
            <w:sdtEndPr>
              <w:rPr>
                <w:rStyle w:val="PageNumber"/>
              </w:rPr>
            </w:sdtEndPr>
            <w:sdtContent>
              <w:r w:rsidR="002C3790">
                <w:rPr>
                  <w:rStyle w:val="PageNumber"/>
                </w:rPr>
                <w:t>26 January 2026</w:t>
              </w:r>
            </w:sdtContent>
          </w:sdt>
          <w:r w:rsidR="00A50829" w:rsidRPr="00CE6614">
            <w:rPr>
              <w:rStyle w:val="PageNumber"/>
            </w:rPr>
            <w:t xml:space="preserve"> | Version </w:t>
          </w:r>
          <w:r w:rsidR="002C3790">
            <w:rPr>
              <w:rStyle w:val="PageNumber"/>
            </w:rPr>
            <w:t>1</w:t>
          </w:r>
        </w:p>
        <w:p w14:paraId="199C371E" w14:textId="77777777" w:rsidR="00A50829" w:rsidRPr="00AC4488" w:rsidRDefault="00A50829" w:rsidP="00A50829">
          <w:pPr>
            <w:spacing w:after="0"/>
            <w:rPr>
              <w:rStyle w:val="PageNumber"/>
            </w:rPr>
          </w:pPr>
          <w:r w:rsidRPr="00AC4488">
            <w:rPr>
              <w:rStyle w:val="PageNumber"/>
            </w:rPr>
            <w:t xml:space="preserve">Page </w:t>
          </w:r>
          <w:r w:rsidRPr="00AC4488">
            <w:rPr>
              <w:rStyle w:val="PageNumber"/>
            </w:rPr>
            <w:fldChar w:fldCharType="begin"/>
          </w:r>
          <w:r w:rsidRPr="00AC4488">
            <w:rPr>
              <w:rStyle w:val="PageNumber"/>
            </w:rPr>
            <w:instrText xml:space="preserve"> PAGE  \* Arabic  \* MERGEFORMAT </w:instrText>
          </w:r>
          <w:r w:rsidRPr="00AC4488">
            <w:rPr>
              <w:rStyle w:val="PageNumber"/>
            </w:rPr>
            <w:fldChar w:fldCharType="separate"/>
          </w:r>
          <w:r w:rsidR="005777BB">
            <w:rPr>
              <w:rStyle w:val="PageNumber"/>
              <w:noProof/>
            </w:rPr>
            <w:t>4</w:t>
          </w:r>
          <w:r w:rsidRPr="00AC4488">
            <w:rPr>
              <w:rStyle w:val="PageNumber"/>
            </w:rPr>
            <w:fldChar w:fldCharType="end"/>
          </w:r>
          <w:r w:rsidRPr="00AC4488">
            <w:rPr>
              <w:rStyle w:val="PageNumber"/>
            </w:rPr>
            <w:t xml:space="preserve"> of </w:t>
          </w:r>
          <w:r w:rsidRPr="00AC4488">
            <w:rPr>
              <w:rStyle w:val="PageNumber"/>
            </w:rPr>
            <w:fldChar w:fldCharType="begin"/>
          </w:r>
          <w:r w:rsidRPr="00AC4488">
            <w:rPr>
              <w:rStyle w:val="PageNumber"/>
            </w:rPr>
            <w:instrText xml:space="preserve"> NUMPAGES  \* Arabic  \* MERGEFORMAT </w:instrText>
          </w:r>
          <w:r w:rsidRPr="00AC4488">
            <w:rPr>
              <w:rStyle w:val="PageNumber"/>
            </w:rPr>
            <w:fldChar w:fldCharType="separate"/>
          </w:r>
          <w:r w:rsidR="005777BB">
            <w:rPr>
              <w:rStyle w:val="PageNumber"/>
              <w:noProof/>
            </w:rPr>
            <w:t>4</w:t>
          </w:r>
          <w:r w:rsidRPr="00AC4488">
            <w:rPr>
              <w:rStyle w:val="PageNumber"/>
            </w:rPr>
            <w:fldChar w:fldCharType="end"/>
          </w:r>
        </w:p>
      </w:tc>
    </w:tr>
  </w:tbl>
  <w:p w14:paraId="78DFF856" w14:textId="77777777" w:rsidR="00417E19" w:rsidRDefault="00417E19" w:rsidP="00AD1B26">
    <w:pPr>
      <w:pStyle w:val="Hidden"/>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F1C83" w14:textId="77777777" w:rsidR="00C04645" w:rsidRDefault="00C04645">
      <w:r>
        <w:separator/>
      </w:r>
    </w:p>
  </w:footnote>
  <w:footnote w:type="continuationSeparator" w:id="0">
    <w:p w14:paraId="64642B62" w14:textId="77777777" w:rsidR="00C04645" w:rsidRDefault="00C04645">
      <w:r>
        <w:continuationSeparator/>
      </w:r>
    </w:p>
  </w:footnote>
  <w:footnote w:type="continuationNotice" w:id="1">
    <w:p w14:paraId="691AE337" w14:textId="77777777" w:rsidR="00C04645" w:rsidRDefault="00C046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CDB8" w14:textId="7A1835B5" w:rsidR="00964B22" w:rsidRPr="008E0345" w:rsidRDefault="00C14069" w:rsidP="005A5A44">
    <w:pPr>
      <w:pStyle w:val="Header"/>
    </w:pPr>
    <w:sdt>
      <w:sdtPr>
        <w:alias w:val="Title"/>
        <w:tag w:val=""/>
        <w:id w:val="-477918894"/>
        <w:placeholder>
          <w:docPart w:val="F54E29CB04154139B03106394B28BD73"/>
        </w:placeholder>
        <w:dataBinding w:prefixMappings="xmlns:ns0='http://purl.org/dc/elements/1.1/' xmlns:ns1='http://schemas.openxmlformats.org/package/2006/metadata/core-properties' " w:xpath="/ns1:coreProperties[1]/ns0:title[1]" w:storeItemID="{6C3C8BC8-F283-45AE-878A-BAB7291924A1}"/>
        <w:text/>
      </w:sdtPr>
      <w:sdtEndPr/>
      <w:sdtContent>
        <w:r w:rsidR="00F13986">
          <w:t>Best practice end of financial year processes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BA14F" w14:textId="77777777" w:rsidR="004B7373" w:rsidRPr="00B21CEB" w:rsidRDefault="00B21CEB" w:rsidP="00B21CEB">
    <w:pPr>
      <w:pStyle w:val="Header"/>
      <w:jc w:val="left"/>
    </w:pPr>
    <w:r>
      <w:rPr>
        <w:noProof/>
        <w:lang w:eastAsia="en-AU"/>
      </w:rPr>
      <w:drawing>
        <wp:anchor distT="0" distB="0" distL="114300" distR="114300" simplePos="0" relativeHeight="251658240" behindDoc="1" locked="0" layoutInCell="1" allowOverlap="1" wp14:anchorId="20AFE028" wp14:editId="16372531">
          <wp:simplePos x="0" y="0"/>
          <wp:positionH relativeFrom="page">
            <wp:align>left</wp:align>
          </wp:positionH>
          <wp:positionV relativeFrom="paragraph">
            <wp:posOffset>-503555</wp:posOffset>
          </wp:positionV>
          <wp:extent cx="7739655" cy="10793842"/>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licy document template - cover background-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39655" cy="1079384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342E" w14:textId="64E57DD2" w:rsidR="00717C37" w:rsidRPr="004E7885" w:rsidRDefault="00C14069" w:rsidP="004E7885">
    <w:pPr>
      <w:pStyle w:val="Header"/>
    </w:pPr>
    <w:sdt>
      <w:sdtPr>
        <w:alias w:val="Title"/>
        <w:tag w:val="Title"/>
        <w:id w:val="94911156"/>
        <w:lock w:val="sdtLocked"/>
        <w:placeholder>
          <w:docPart w:val="F54E29CB04154139B03106394B28BD73"/>
        </w:placeholder>
        <w:dataBinding w:prefixMappings="xmlns:ns0='http://purl.org/dc/elements/1.1/' xmlns:ns1='http://schemas.openxmlformats.org/package/2006/metadata/core-properties' " w:xpath="/ns1:coreProperties[1]/ns0:title[1]" w:storeItemID="{6C3C8BC8-F283-45AE-878A-BAB7291924A1}"/>
        <w15:color w:val="000000"/>
        <w:text/>
      </w:sdtPr>
      <w:sdtEndPr/>
      <w:sdtContent>
        <w:r w:rsidR="00F13986">
          <w:t>Best practice end of financial year processes</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ACCE6" w14:textId="77777777" w:rsidR="00964B22" w:rsidRPr="00274F1C" w:rsidRDefault="00964B22" w:rsidP="004E7885">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
      <w:tag w:val=""/>
      <w:id w:val="2130893165"/>
      <w:placeholder>
        <w:docPart w:val="257748B9A243499F8C96B15FC67791CE"/>
      </w:placeholder>
      <w:dataBinding w:prefixMappings="xmlns:ns0='http://purl.org/dc/elements/1.1/' xmlns:ns1='http://schemas.openxmlformats.org/package/2006/metadata/core-properties' " w:xpath="/ns1:coreProperties[1]/ns0:title[1]" w:storeItemID="{6C3C8BC8-F283-45AE-878A-BAB7291924A1}"/>
      <w:text/>
    </w:sdtPr>
    <w:sdtEndPr/>
    <w:sdtContent>
      <w:p w14:paraId="118B7FCF" w14:textId="7A9B46F2" w:rsidR="00983000" w:rsidRPr="00964B22" w:rsidRDefault="00F13986" w:rsidP="008E0345">
        <w:pPr>
          <w:pStyle w:val="Header"/>
          <w:rPr>
            <w:b/>
          </w:rPr>
        </w:pPr>
        <w:r>
          <w:t>Best practice end of financial year processes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4AE5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E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6EAE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F6805E"/>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1588517C"/>
    <w:lvl w:ilvl="0">
      <w:start w:val="1"/>
      <w:numFmt w:val="decimal"/>
      <w:pStyle w:val="ListNumber"/>
      <w:lvlText w:val="%1."/>
      <w:lvlJc w:val="left"/>
      <w:pPr>
        <w:tabs>
          <w:tab w:val="num" w:pos="360"/>
        </w:tabs>
        <w:ind w:left="360" w:hanging="360"/>
      </w:pPr>
    </w:lvl>
  </w:abstractNum>
  <w:abstractNum w:abstractNumId="5" w15:restartNumberingAfterBreak="0">
    <w:nsid w:val="0B7245D0"/>
    <w:multiLevelType w:val="multilevel"/>
    <w:tmpl w:val="0C78A7AC"/>
    <w:name w:val="NTG Table Bullet List322"/>
    <w:numStyleLink w:val="Tablebulletlist"/>
  </w:abstractNum>
  <w:abstractNum w:abstractNumId="6" w15:restartNumberingAfterBreak="0">
    <w:nsid w:val="0C803F26"/>
    <w:multiLevelType w:val="multilevel"/>
    <w:tmpl w:val="8C8A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942A56"/>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195B3C"/>
    <w:multiLevelType w:val="multilevel"/>
    <w:tmpl w:val="3928FD02"/>
    <w:name w:val="NTG Table Bullet List3322222"/>
    <w:numStyleLink w:val="Bulletlist"/>
  </w:abstractNum>
  <w:abstractNum w:abstractNumId="9" w15:restartNumberingAfterBreak="0">
    <w:nsid w:val="100244A1"/>
    <w:multiLevelType w:val="multilevel"/>
    <w:tmpl w:val="0C78A7AC"/>
    <w:name w:val="NTG Table Bullet List332"/>
    <w:numStyleLink w:val="Tablebulletlist"/>
  </w:abstractNum>
  <w:abstractNum w:abstractNumId="10" w15:restartNumberingAfterBreak="0">
    <w:nsid w:val="1012237B"/>
    <w:multiLevelType w:val="multilevel"/>
    <w:tmpl w:val="0C78A7AC"/>
    <w:name w:val="NTG Table Bullet List32"/>
    <w:numStyleLink w:val="Tablebulletlist"/>
  </w:abstractNum>
  <w:abstractNum w:abstractNumId="11" w15:restartNumberingAfterBreak="0">
    <w:nsid w:val="131B1DE9"/>
    <w:multiLevelType w:val="multilevel"/>
    <w:tmpl w:val="62E8D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3E6764"/>
    <w:multiLevelType w:val="hybridMultilevel"/>
    <w:tmpl w:val="7FD8FB8A"/>
    <w:lvl w:ilvl="0" w:tplc="9202F484">
      <w:start w:val="1"/>
      <w:numFmt w:val="bullet"/>
      <w:lvlText w:val=""/>
      <w:lvlJc w:val="left"/>
      <w:pPr>
        <w:tabs>
          <w:tab w:val="num" w:pos="720"/>
        </w:tabs>
        <w:ind w:left="720" w:hanging="360"/>
      </w:pPr>
      <w:rPr>
        <w:rFonts w:ascii="Wingdings" w:hAnsi="Wingdings" w:hint="default"/>
      </w:rPr>
    </w:lvl>
    <w:lvl w:ilvl="1" w:tplc="36105690" w:tentative="1">
      <w:start w:val="1"/>
      <w:numFmt w:val="bullet"/>
      <w:lvlText w:val=""/>
      <w:lvlJc w:val="left"/>
      <w:pPr>
        <w:tabs>
          <w:tab w:val="num" w:pos="1440"/>
        </w:tabs>
        <w:ind w:left="1440" w:hanging="360"/>
      </w:pPr>
      <w:rPr>
        <w:rFonts w:ascii="Wingdings" w:hAnsi="Wingdings" w:hint="default"/>
      </w:rPr>
    </w:lvl>
    <w:lvl w:ilvl="2" w:tplc="5DC6CEEA">
      <w:start w:val="1"/>
      <w:numFmt w:val="bullet"/>
      <w:lvlText w:val=""/>
      <w:lvlJc w:val="left"/>
      <w:pPr>
        <w:tabs>
          <w:tab w:val="num" w:pos="2160"/>
        </w:tabs>
        <w:ind w:left="2160" w:hanging="360"/>
      </w:pPr>
      <w:rPr>
        <w:rFonts w:ascii="Wingdings" w:hAnsi="Wingdings" w:hint="default"/>
      </w:rPr>
    </w:lvl>
    <w:lvl w:ilvl="3" w:tplc="799CC808" w:tentative="1">
      <w:start w:val="1"/>
      <w:numFmt w:val="bullet"/>
      <w:lvlText w:val=""/>
      <w:lvlJc w:val="left"/>
      <w:pPr>
        <w:tabs>
          <w:tab w:val="num" w:pos="2880"/>
        </w:tabs>
        <w:ind w:left="2880" w:hanging="360"/>
      </w:pPr>
      <w:rPr>
        <w:rFonts w:ascii="Wingdings" w:hAnsi="Wingdings" w:hint="default"/>
      </w:rPr>
    </w:lvl>
    <w:lvl w:ilvl="4" w:tplc="520AD020" w:tentative="1">
      <w:start w:val="1"/>
      <w:numFmt w:val="bullet"/>
      <w:lvlText w:val=""/>
      <w:lvlJc w:val="left"/>
      <w:pPr>
        <w:tabs>
          <w:tab w:val="num" w:pos="3600"/>
        </w:tabs>
        <w:ind w:left="3600" w:hanging="360"/>
      </w:pPr>
      <w:rPr>
        <w:rFonts w:ascii="Wingdings" w:hAnsi="Wingdings" w:hint="default"/>
      </w:rPr>
    </w:lvl>
    <w:lvl w:ilvl="5" w:tplc="178CA7A0" w:tentative="1">
      <w:start w:val="1"/>
      <w:numFmt w:val="bullet"/>
      <w:lvlText w:val=""/>
      <w:lvlJc w:val="left"/>
      <w:pPr>
        <w:tabs>
          <w:tab w:val="num" w:pos="4320"/>
        </w:tabs>
        <w:ind w:left="4320" w:hanging="360"/>
      </w:pPr>
      <w:rPr>
        <w:rFonts w:ascii="Wingdings" w:hAnsi="Wingdings" w:hint="default"/>
      </w:rPr>
    </w:lvl>
    <w:lvl w:ilvl="6" w:tplc="3E52368C" w:tentative="1">
      <w:start w:val="1"/>
      <w:numFmt w:val="bullet"/>
      <w:lvlText w:val=""/>
      <w:lvlJc w:val="left"/>
      <w:pPr>
        <w:tabs>
          <w:tab w:val="num" w:pos="5040"/>
        </w:tabs>
        <w:ind w:left="5040" w:hanging="360"/>
      </w:pPr>
      <w:rPr>
        <w:rFonts w:ascii="Wingdings" w:hAnsi="Wingdings" w:hint="default"/>
      </w:rPr>
    </w:lvl>
    <w:lvl w:ilvl="7" w:tplc="FE6AE86C" w:tentative="1">
      <w:start w:val="1"/>
      <w:numFmt w:val="bullet"/>
      <w:lvlText w:val=""/>
      <w:lvlJc w:val="left"/>
      <w:pPr>
        <w:tabs>
          <w:tab w:val="num" w:pos="5760"/>
        </w:tabs>
        <w:ind w:left="5760" w:hanging="360"/>
      </w:pPr>
      <w:rPr>
        <w:rFonts w:ascii="Wingdings" w:hAnsi="Wingdings" w:hint="default"/>
      </w:rPr>
    </w:lvl>
    <w:lvl w:ilvl="8" w:tplc="08CA89B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30CF8"/>
    <w:multiLevelType w:val="multilevel"/>
    <w:tmpl w:val="85EC3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E93577"/>
    <w:multiLevelType w:val="multilevel"/>
    <w:tmpl w:val="4E6AC8F6"/>
    <w:name w:val="NTG Table Bullet List33222222"/>
    <w:numStyleLink w:val="Numberlist"/>
  </w:abstractNum>
  <w:abstractNum w:abstractNumId="15" w15:restartNumberingAfterBreak="0">
    <w:nsid w:val="163352D7"/>
    <w:multiLevelType w:val="hybridMultilevel"/>
    <w:tmpl w:val="80E8DE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8D26C06"/>
    <w:multiLevelType w:val="multilevel"/>
    <w:tmpl w:val="3E5E177A"/>
    <w:name w:val="NTG Table Bullet List33222222222222222"/>
    <w:numStyleLink w:val="Tablenumberlist"/>
  </w:abstractNum>
  <w:abstractNum w:abstractNumId="17" w15:restartNumberingAfterBreak="0">
    <w:nsid w:val="19533A06"/>
    <w:multiLevelType w:val="multilevel"/>
    <w:tmpl w:val="3928FD02"/>
    <w:name w:val="NTG Table Bullet List3222"/>
    <w:numStyleLink w:val="Bulletlist"/>
  </w:abstractNum>
  <w:abstractNum w:abstractNumId="18"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9" w15:restartNumberingAfterBreak="0">
    <w:nsid w:val="1B26429D"/>
    <w:multiLevelType w:val="multilevel"/>
    <w:tmpl w:val="3E5E177A"/>
    <w:name w:val="NTG Table Bullet List33222222222"/>
    <w:numStyleLink w:val="Tablenumberlist"/>
  </w:abstractNum>
  <w:abstractNum w:abstractNumId="20" w15:restartNumberingAfterBreak="0">
    <w:nsid w:val="1B86276C"/>
    <w:multiLevelType w:val="multilevel"/>
    <w:tmpl w:val="3928FD02"/>
    <w:name w:val="NTG Table Bullet List32223"/>
    <w:numStyleLink w:val="Bulletlist"/>
  </w:abstractNum>
  <w:abstractNum w:abstractNumId="21" w15:restartNumberingAfterBreak="0">
    <w:nsid w:val="1D0744AE"/>
    <w:multiLevelType w:val="multilevel"/>
    <w:tmpl w:val="3E5E177A"/>
    <w:name w:val="NTG Table Bullet List3222322"/>
    <w:numStyleLink w:val="Tablenumberlist"/>
  </w:abstractNum>
  <w:abstractNum w:abstractNumId="22" w15:restartNumberingAfterBreak="0">
    <w:nsid w:val="1E931865"/>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E54D81"/>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5B30A24"/>
    <w:multiLevelType w:val="multilevel"/>
    <w:tmpl w:val="6AFA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A54743"/>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1922E9"/>
    <w:multiLevelType w:val="multilevel"/>
    <w:tmpl w:val="0F56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2E3F76"/>
    <w:multiLevelType w:val="multilevel"/>
    <w:tmpl w:val="3E5E177A"/>
    <w:name w:val="NTG Table Bullet List3322"/>
    <w:numStyleLink w:val="Tablenumberlist"/>
  </w:abstractNum>
  <w:abstractNum w:abstractNumId="29" w15:restartNumberingAfterBreak="0">
    <w:nsid w:val="27CE4608"/>
    <w:multiLevelType w:val="multilevel"/>
    <w:tmpl w:val="3E5E177A"/>
    <w:name w:val="NTG Table Bullet List33222"/>
    <w:numStyleLink w:val="Tablenumberlist"/>
  </w:abstractNum>
  <w:abstractNum w:abstractNumId="30" w15:restartNumberingAfterBreak="0">
    <w:nsid w:val="27D83E4D"/>
    <w:multiLevelType w:val="multilevel"/>
    <w:tmpl w:val="7890A152"/>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1" w15:restartNumberingAfterBreak="0">
    <w:nsid w:val="28FE5413"/>
    <w:multiLevelType w:val="multilevel"/>
    <w:tmpl w:val="25C8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A82428"/>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D066BF9"/>
    <w:multiLevelType w:val="hybridMultilevel"/>
    <w:tmpl w:val="FBACB82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5" w15:restartNumberingAfterBreak="0">
    <w:nsid w:val="2D543515"/>
    <w:multiLevelType w:val="hybridMultilevel"/>
    <w:tmpl w:val="303CD3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2E693641"/>
    <w:multiLevelType w:val="multilevel"/>
    <w:tmpl w:val="3E5E177A"/>
    <w:name w:val="NTG Table Bullet List33"/>
    <w:numStyleLink w:val="Tablenumberlist"/>
  </w:abstractNum>
  <w:abstractNum w:abstractNumId="37" w15:restartNumberingAfterBreak="0">
    <w:nsid w:val="2EF077BC"/>
    <w:multiLevelType w:val="multilevel"/>
    <w:tmpl w:val="0C78A7AC"/>
    <w:name w:val="NTG Table Bullet List33222222222222222222"/>
    <w:numStyleLink w:val="Tablebulletlist"/>
  </w:abstractNum>
  <w:abstractNum w:abstractNumId="38" w15:restartNumberingAfterBreak="0">
    <w:nsid w:val="2F5509BB"/>
    <w:multiLevelType w:val="multilevel"/>
    <w:tmpl w:val="F8C2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2DF44DA"/>
    <w:multiLevelType w:val="multilevel"/>
    <w:tmpl w:val="3E5E177A"/>
    <w:name w:val="NTG Table Bullet List3222323"/>
    <w:numStyleLink w:val="Tablenumberlist"/>
  </w:abstractNum>
  <w:abstractNum w:abstractNumId="40" w15:restartNumberingAfterBreak="0">
    <w:nsid w:val="33FE5EFF"/>
    <w:multiLevelType w:val="multilevel"/>
    <w:tmpl w:val="5B12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744DFA"/>
    <w:multiLevelType w:val="multilevel"/>
    <w:tmpl w:val="3928FD02"/>
    <w:styleLink w:val="Bulletlist"/>
    <w:lvl w:ilvl="0">
      <w:start w:val="1"/>
      <w:numFmt w:val="bullet"/>
      <w:lvlText w:val=""/>
      <w:lvlJc w:val="left"/>
      <w:pPr>
        <w:ind w:left="357" w:hanging="357"/>
      </w:pPr>
      <w:rPr>
        <w:rFonts w:ascii="Symbol" w:hAnsi="Symbol" w:hint="default"/>
        <w:color w:val="auto"/>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42" w15:restartNumberingAfterBreak="0">
    <w:nsid w:val="377C426F"/>
    <w:multiLevelType w:val="multilevel"/>
    <w:tmpl w:val="FD1CD746"/>
    <w:styleLink w:val="Numberedlist"/>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E332FB"/>
    <w:multiLevelType w:val="multilevel"/>
    <w:tmpl w:val="13367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4E68EA"/>
    <w:multiLevelType w:val="hybridMultilevel"/>
    <w:tmpl w:val="AA6A26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3BE61945"/>
    <w:multiLevelType w:val="multilevel"/>
    <w:tmpl w:val="3928FD02"/>
    <w:name w:val="NTG Table Bullet List332222222222222222"/>
    <w:numStyleLink w:val="Bulletlist"/>
  </w:abstractNum>
  <w:abstractNum w:abstractNumId="46" w15:restartNumberingAfterBreak="0">
    <w:nsid w:val="430E23FA"/>
    <w:multiLevelType w:val="hybridMultilevel"/>
    <w:tmpl w:val="D902E06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7" w15:restartNumberingAfterBreak="0">
    <w:nsid w:val="478D1FD5"/>
    <w:multiLevelType w:val="hybridMultilevel"/>
    <w:tmpl w:val="C8B0C5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49FD3A20"/>
    <w:multiLevelType w:val="multilevel"/>
    <w:tmpl w:val="3E5E177A"/>
    <w:name w:val="NTG Table Bullet List3322222222222"/>
    <w:numStyleLink w:val="Tablenumberlist"/>
  </w:abstractNum>
  <w:abstractNum w:abstractNumId="49"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50"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1" w15:restartNumberingAfterBreak="0">
    <w:nsid w:val="50354286"/>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F50050"/>
    <w:multiLevelType w:val="hybridMultilevel"/>
    <w:tmpl w:val="767E5D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51282BC8"/>
    <w:multiLevelType w:val="hybridMultilevel"/>
    <w:tmpl w:val="A94EA6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53842BC6"/>
    <w:multiLevelType w:val="multilevel"/>
    <w:tmpl w:val="0C78A7AC"/>
    <w:numStyleLink w:val="Tablebulletlist"/>
  </w:abstractNum>
  <w:abstractNum w:abstractNumId="55"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6" w15:restartNumberingAfterBreak="0">
    <w:nsid w:val="56DA2CAE"/>
    <w:multiLevelType w:val="multilevel"/>
    <w:tmpl w:val="3E5E177A"/>
    <w:name w:val="NTG Table Bullet List332222222222222"/>
    <w:numStyleLink w:val="Tablenumberlist"/>
  </w:abstractNum>
  <w:abstractNum w:abstractNumId="57" w15:restartNumberingAfterBreak="0">
    <w:nsid w:val="57714E5C"/>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3359D9"/>
    <w:multiLevelType w:val="multilevel"/>
    <w:tmpl w:val="3E5E177A"/>
    <w:name w:val="NTG Table Bullet List332222222"/>
    <w:numStyleLink w:val="Tablenumberlist"/>
  </w:abstractNum>
  <w:abstractNum w:abstractNumId="59" w15:restartNumberingAfterBreak="0">
    <w:nsid w:val="5B9A5FFE"/>
    <w:multiLevelType w:val="multilevel"/>
    <w:tmpl w:val="0C78A7AC"/>
    <w:name w:val="NTG Table Bullet List33222222222222"/>
    <w:numStyleLink w:val="Tablebulletlist"/>
  </w:abstractNum>
  <w:abstractNum w:abstractNumId="60" w15:restartNumberingAfterBreak="0">
    <w:nsid w:val="5D444259"/>
    <w:multiLevelType w:val="multilevel"/>
    <w:tmpl w:val="0C78A7AC"/>
    <w:name w:val="NTG Table Bullet List332222"/>
    <w:numStyleLink w:val="Tablebulletlist"/>
  </w:abstractNum>
  <w:abstractNum w:abstractNumId="61" w15:restartNumberingAfterBreak="0">
    <w:nsid w:val="5D4A3B02"/>
    <w:multiLevelType w:val="hybridMultilevel"/>
    <w:tmpl w:val="F672F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63C4212A"/>
    <w:multiLevelType w:val="multilevel"/>
    <w:tmpl w:val="16E2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6B14F8A"/>
    <w:multiLevelType w:val="multilevel"/>
    <w:tmpl w:val="29A0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9262556"/>
    <w:multiLevelType w:val="multilevel"/>
    <w:tmpl w:val="3E5E177A"/>
    <w:name w:val="NTG Table Bullet List3322222222222222"/>
    <w:numStyleLink w:val="Tablenumberlist"/>
  </w:abstractNum>
  <w:abstractNum w:abstractNumId="65" w15:restartNumberingAfterBreak="0">
    <w:nsid w:val="698F5F02"/>
    <w:multiLevelType w:val="multilevel"/>
    <w:tmpl w:val="35B4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D47810"/>
    <w:multiLevelType w:val="multilevel"/>
    <w:tmpl w:val="AF001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214CAD"/>
    <w:multiLevelType w:val="multilevel"/>
    <w:tmpl w:val="B2781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811B51"/>
    <w:multiLevelType w:val="hybridMultilevel"/>
    <w:tmpl w:val="6598F8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73BD7B11"/>
    <w:multiLevelType w:val="hybridMultilevel"/>
    <w:tmpl w:val="3D344CEA"/>
    <w:lvl w:ilvl="0" w:tplc="367212E0">
      <w:start w:val="1"/>
      <w:numFmt w:val="bullet"/>
      <w:lvlText w:val=""/>
      <w:lvlJc w:val="left"/>
      <w:pPr>
        <w:tabs>
          <w:tab w:val="num" w:pos="720"/>
        </w:tabs>
        <w:ind w:left="720" w:hanging="360"/>
      </w:pPr>
      <w:rPr>
        <w:rFonts w:ascii="Wingdings" w:hAnsi="Wingdings" w:hint="default"/>
      </w:rPr>
    </w:lvl>
    <w:lvl w:ilvl="1" w:tplc="5A54B7BA" w:tentative="1">
      <w:start w:val="1"/>
      <w:numFmt w:val="bullet"/>
      <w:lvlText w:val=""/>
      <w:lvlJc w:val="left"/>
      <w:pPr>
        <w:tabs>
          <w:tab w:val="num" w:pos="1440"/>
        </w:tabs>
        <w:ind w:left="1440" w:hanging="360"/>
      </w:pPr>
      <w:rPr>
        <w:rFonts w:ascii="Wingdings" w:hAnsi="Wingdings" w:hint="default"/>
      </w:rPr>
    </w:lvl>
    <w:lvl w:ilvl="2" w:tplc="E8EC305C">
      <w:start w:val="1"/>
      <w:numFmt w:val="bullet"/>
      <w:lvlText w:val=""/>
      <w:lvlJc w:val="left"/>
      <w:pPr>
        <w:tabs>
          <w:tab w:val="num" w:pos="2160"/>
        </w:tabs>
        <w:ind w:left="2160" w:hanging="360"/>
      </w:pPr>
      <w:rPr>
        <w:rFonts w:ascii="Wingdings" w:hAnsi="Wingdings" w:hint="default"/>
      </w:rPr>
    </w:lvl>
    <w:lvl w:ilvl="3" w:tplc="BBB83320" w:tentative="1">
      <w:start w:val="1"/>
      <w:numFmt w:val="bullet"/>
      <w:lvlText w:val=""/>
      <w:lvlJc w:val="left"/>
      <w:pPr>
        <w:tabs>
          <w:tab w:val="num" w:pos="2880"/>
        </w:tabs>
        <w:ind w:left="2880" w:hanging="360"/>
      </w:pPr>
      <w:rPr>
        <w:rFonts w:ascii="Wingdings" w:hAnsi="Wingdings" w:hint="default"/>
      </w:rPr>
    </w:lvl>
    <w:lvl w:ilvl="4" w:tplc="D2548E98" w:tentative="1">
      <w:start w:val="1"/>
      <w:numFmt w:val="bullet"/>
      <w:lvlText w:val=""/>
      <w:lvlJc w:val="left"/>
      <w:pPr>
        <w:tabs>
          <w:tab w:val="num" w:pos="3600"/>
        </w:tabs>
        <w:ind w:left="3600" w:hanging="360"/>
      </w:pPr>
      <w:rPr>
        <w:rFonts w:ascii="Wingdings" w:hAnsi="Wingdings" w:hint="default"/>
      </w:rPr>
    </w:lvl>
    <w:lvl w:ilvl="5" w:tplc="D19CE1DC" w:tentative="1">
      <w:start w:val="1"/>
      <w:numFmt w:val="bullet"/>
      <w:lvlText w:val=""/>
      <w:lvlJc w:val="left"/>
      <w:pPr>
        <w:tabs>
          <w:tab w:val="num" w:pos="4320"/>
        </w:tabs>
        <w:ind w:left="4320" w:hanging="360"/>
      </w:pPr>
      <w:rPr>
        <w:rFonts w:ascii="Wingdings" w:hAnsi="Wingdings" w:hint="default"/>
      </w:rPr>
    </w:lvl>
    <w:lvl w:ilvl="6" w:tplc="5552A89E" w:tentative="1">
      <w:start w:val="1"/>
      <w:numFmt w:val="bullet"/>
      <w:lvlText w:val=""/>
      <w:lvlJc w:val="left"/>
      <w:pPr>
        <w:tabs>
          <w:tab w:val="num" w:pos="5040"/>
        </w:tabs>
        <w:ind w:left="5040" w:hanging="360"/>
      </w:pPr>
      <w:rPr>
        <w:rFonts w:ascii="Wingdings" w:hAnsi="Wingdings" w:hint="default"/>
      </w:rPr>
    </w:lvl>
    <w:lvl w:ilvl="7" w:tplc="4072CBDE" w:tentative="1">
      <w:start w:val="1"/>
      <w:numFmt w:val="bullet"/>
      <w:lvlText w:val=""/>
      <w:lvlJc w:val="left"/>
      <w:pPr>
        <w:tabs>
          <w:tab w:val="num" w:pos="5760"/>
        </w:tabs>
        <w:ind w:left="5760" w:hanging="360"/>
      </w:pPr>
      <w:rPr>
        <w:rFonts w:ascii="Wingdings" w:hAnsi="Wingdings" w:hint="default"/>
      </w:rPr>
    </w:lvl>
    <w:lvl w:ilvl="8" w:tplc="B0204BFA"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53664D"/>
    <w:multiLevelType w:val="multilevel"/>
    <w:tmpl w:val="0C78A7AC"/>
    <w:name w:val="NTG Table Bullet List3322222222222222222"/>
    <w:numStyleLink w:val="Tablebulletlist"/>
  </w:abstractNum>
  <w:abstractNum w:abstractNumId="71" w15:restartNumberingAfterBreak="0">
    <w:nsid w:val="76141D1E"/>
    <w:multiLevelType w:val="multilevel"/>
    <w:tmpl w:val="0C78A7AC"/>
    <w:name w:val="NTG Table Bullet List332222222222"/>
    <w:numStyleLink w:val="Tablebulletlist"/>
  </w:abstractNum>
  <w:abstractNum w:abstractNumId="72" w15:restartNumberingAfterBreak="0">
    <w:nsid w:val="76311870"/>
    <w:multiLevelType w:val="hybridMultilevel"/>
    <w:tmpl w:val="047E94C2"/>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40AA2E96">
      <w:start w:val="1"/>
      <w:numFmt w:val="bullet"/>
      <w:lvlText w:val=""/>
      <w:lvlJc w:val="left"/>
      <w:pPr>
        <w:ind w:left="2340" w:hanging="360"/>
      </w:pPr>
      <w:rPr>
        <w:rFonts w:ascii="Symbol" w:hAnsi="Symbol"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3" w15:restartNumberingAfterBreak="0">
    <w:nsid w:val="791B6673"/>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93A041C"/>
    <w:multiLevelType w:val="hybridMultilevel"/>
    <w:tmpl w:val="A22C1F6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5" w15:restartNumberingAfterBreak="0">
    <w:nsid w:val="79CC6470"/>
    <w:multiLevelType w:val="multilevel"/>
    <w:tmpl w:val="CB32F200"/>
    <w:lvl w:ilvl="0">
      <w:start w:val="1"/>
      <w:numFmt w:val="decimal"/>
      <w:pStyle w:val="Heading1"/>
      <w:suff w:val="space"/>
      <w:lvlText w:val="%1."/>
      <w:lvlJc w:val="left"/>
      <w:pPr>
        <w:ind w:left="432" w:hanging="432"/>
      </w:pPr>
      <w:rPr>
        <w:rFonts w:hint="default"/>
        <w:b w:val="0"/>
        <w:i w:val="0"/>
      </w:rPr>
    </w:lvl>
    <w:lvl w:ilvl="1">
      <w:start w:val="1"/>
      <w:numFmt w:val="decimal"/>
      <w:pStyle w:val="Heading2"/>
      <w:suff w:val="space"/>
      <w:lvlText w:val="%1.%2."/>
      <w:lvlJc w:val="left"/>
      <w:pPr>
        <w:ind w:left="3411"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1008" w:hanging="1008"/>
      </w:pPr>
      <w:rPr>
        <w:rFonts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suff w:val="space"/>
      <w:lvlText w:val="%1.%2.%3.%4.%5.%6.%7."/>
      <w:lvlJc w:val="left"/>
      <w:pPr>
        <w:ind w:left="1296" w:hanging="1296"/>
      </w:pPr>
      <w:rPr>
        <w:rFonts w:hint="default"/>
      </w:rPr>
    </w:lvl>
    <w:lvl w:ilvl="7">
      <w:start w:val="1"/>
      <w:numFmt w:val="decimal"/>
      <w:pStyle w:val="Heading8"/>
      <w:suff w:val="space"/>
      <w:lvlText w:val="%1.%2.%3.%4.%5.%6.%7.%8."/>
      <w:lvlJc w:val="left"/>
      <w:pPr>
        <w:ind w:left="1440" w:hanging="1440"/>
      </w:pPr>
      <w:rPr>
        <w:rFonts w:hint="default"/>
      </w:rPr>
    </w:lvl>
    <w:lvl w:ilvl="8">
      <w:start w:val="1"/>
      <w:numFmt w:val="decimal"/>
      <w:pStyle w:val="Heading9"/>
      <w:suff w:val="space"/>
      <w:lvlText w:val="%1.%2.%3.%4.%5.%6.%7.%8.%9."/>
      <w:lvlJc w:val="left"/>
      <w:pPr>
        <w:ind w:left="1584" w:hanging="1584"/>
      </w:pPr>
      <w:rPr>
        <w:rFonts w:hint="default"/>
      </w:rPr>
    </w:lvl>
  </w:abstractNum>
  <w:abstractNum w:abstractNumId="76" w15:restartNumberingAfterBreak="0">
    <w:nsid w:val="7B400D42"/>
    <w:multiLevelType w:val="multilevel"/>
    <w:tmpl w:val="52E4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7E686C"/>
    <w:multiLevelType w:val="multilevel"/>
    <w:tmpl w:val="69683C32"/>
    <w:lvl w:ilvl="0">
      <w:start w:val="1"/>
      <w:numFmt w:val="decimal"/>
      <w:pStyle w:val="List"/>
      <w:lvlText w:val="%1."/>
      <w:lvlJc w:val="left"/>
      <w:pPr>
        <w:ind w:left="357" w:hanging="357"/>
      </w:pPr>
      <w:rPr>
        <w:rFonts w:hint="default"/>
      </w:rPr>
    </w:lvl>
    <w:lvl w:ilvl="1">
      <w:start w:val="1"/>
      <w:numFmt w:val="lowerLetter"/>
      <w:pStyle w:val="List2"/>
      <w:lvlText w:val="%2."/>
      <w:lvlJc w:val="left"/>
      <w:pPr>
        <w:ind w:left="714" w:hanging="357"/>
      </w:pPr>
      <w:rPr>
        <w:rFonts w:hint="default"/>
      </w:rPr>
    </w:lvl>
    <w:lvl w:ilvl="2">
      <w:start w:val="1"/>
      <w:numFmt w:val="lowerRoman"/>
      <w:pStyle w:val="List3"/>
      <w:lvlText w:val="%3."/>
      <w:lvlJc w:val="left"/>
      <w:pPr>
        <w:tabs>
          <w:tab w:val="num" w:pos="714"/>
        </w:tabs>
        <w:ind w:left="1071" w:hanging="357"/>
      </w:pPr>
      <w:rPr>
        <w:rFonts w:hint="default"/>
      </w:rPr>
    </w:lvl>
    <w:lvl w:ilvl="3">
      <w:start w:val="1"/>
      <w:numFmt w:val="decimal"/>
      <w:pStyle w:val="List4"/>
      <w:lvlText w:val="(%4)"/>
      <w:lvlJc w:val="left"/>
      <w:pPr>
        <w:tabs>
          <w:tab w:val="num" w:pos="1072"/>
        </w:tabs>
        <w:ind w:left="1428" w:hanging="357"/>
      </w:pPr>
      <w:rPr>
        <w:rFonts w:hint="default"/>
      </w:rPr>
    </w:lvl>
    <w:lvl w:ilvl="4">
      <w:start w:val="1"/>
      <w:numFmt w:val="lowerLetter"/>
      <w:pStyle w:val="List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78"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16cid:durableId="425081275">
    <w:abstractNumId w:val="41"/>
  </w:num>
  <w:num w:numId="2" w16cid:durableId="630328807">
    <w:abstractNumId w:val="24"/>
  </w:num>
  <w:num w:numId="3" w16cid:durableId="1115952193">
    <w:abstractNumId w:val="75"/>
  </w:num>
  <w:num w:numId="4" w16cid:durableId="237137889">
    <w:abstractNumId w:val="49"/>
  </w:num>
  <w:num w:numId="5" w16cid:durableId="896672241">
    <w:abstractNumId w:val="34"/>
  </w:num>
  <w:num w:numId="6" w16cid:durableId="59406348">
    <w:abstractNumId w:val="18"/>
  </w:num>
  <w:num w:numId="7" w16cid:durableId="450245007">
    <w:abstractNumId w:val="54"/>
  </w:num>
  <w:num w:numId="8" w16cid:durableId="110326504">
    <w:abstractNumId w:val="30"/>
  </w:num>
  <w:num w:numId="9" w16cid:durableId="1861433218">
    <w:abstractNumId w:val="42"/>
  </w:num>
  <w:num w:numId="10" w16cid:durableId="1505197764">
    <w:abstractNumId w:val="4"/>
  </w:num>
  <w:num w:numId="11" w16cid:durableId="1317108359">
    <w:abstractNumId w:val="77"/>
  </w:num>
  <w:num w:numId="12" w16cid:durableId="675839479">
    <w:abstractNumId w:val="3"/>
  </w:num>
  <w:num w:numId="13" w16cid:durableId="1455052715">
    <w:abstractNumId w:val="2"/>
  </w:num>
  <w:num w:numId="14" w16cid:durableId="2111048195">
    <w:abstractNumId w:val="1"/>
  </w:num>
  <w:num w:numId="15" w16cid:durableId="70281103">
    <w:abstractNumId w:val="0"/>
  </w:num>
  <w:num w:numId="16" w16cid:durableId="286739855">
    <w:abstractNumId w:val="35"/>
  </w:num>
  <w:num w:numId="17" w16cid:durableId="2012218371">
    <w:abstractNumId w:val="15"/>
  </w:num>
  <w:num w:numId="18" w16cid:durableId="708529899">
    <w:abstractNumId w:val="53"/>
  </w:num>
  <w:num w:numId="19" w16cid:durableId="71047120">
    <w:abstractNumId w:val="44"/>
  </w:num>
  <w:num w:numId="20" w16cid:durableId="1412389012">
    <w:abstractNumId w:val="61"/>
  </w:num>
  <w:num w:numId="21" w16cid:durableId="232156859">
    <w:abstractNumId w:val="63"/>
  </w:num>
  <w:num w:numId="22" w16cid:durableId="1091586241">
    <w:abstractNumId w:val="52"/>
  </w:num>
  <w:num w:numId="23" w16cid:durableId="347799689">
    <w:abstractNumId w:val="47"/>
  </w:num>
  <w:num w:numId="24" w16cid:durableId="309558105">
    <w:abstractNumId w:val="43"/>
  </w:num>
  <w:num w:numId="25" w16cid:durableId="737094676">
    <w:abstractNumId w:val="66"/>
  </w:num>
  <w:num w:numId="26" w16cid:durableId="2109305784">
    <w:abstractNumId w:val="65"/>
  </w:num>
  <w:num w:numId="27" w16cid:durableId="1051416082">
    <w:abstractNumId w:val="13"/>
  </w:num>
  <w:num w:numId="28" w16cid:durableId="1833444065">
    <w:abstractNumId w:val="26"/>
  </w:num>
  <w:num w:numId="29" w16cid:durableId="653872387">
    <w:abstractNumId w:val="46"/>
  </w:num>
  <w:num w:numId="30" w16cid:durableId="1470786623">
    <w:abstractNumId w:val="32"/>
  </w:num>
  <w:num w:numId="31" w16cid:durableId="1377000958">
    <w:abstractNumId w:val="23"/>
  </w:num>
  <w:num w:numId="32" w16cid:durableId="112931906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84399784">
    <w:abstractNumId w:val="74"/>
  </w:num>
  <w:num w:numId="34" w16cid:durableId="1030256006">
    <w:abstractNumId w:val="7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2966259">
    <w:abstractNumId w:val="72"/>
  </w:num>
  <w:num w:numId="36" w16cid:durableId="1968316240">
    <w:abstractNumId w:val="73"/>
  </w:num>
  <w:num w:numId="37" w16cid:durableId="1424060568">
    <w:abstractNumId w:val="57"/>
  </w:num>
  <w:num w:numId="38" w16cid:durableId="1593781507">
    <w:abstractNumId w:val="76"/>
  </w:num>
  <w:num w:numId="39" w16cid:durableId="211120916">
    <w:abstractNumId w:val="22"/>
  </w:num>
  <w:num w:numId="40" w16cid:durableId="134026868">
    <w:abstractNumId w:val="7"/>
  </w:num>
  <w:num w:numId="41" w16cid:durableId="1493371979">
    <w:abstractNumId w:val="51"/>
  </w:num>
  <w:num w:numId="42" w16cid:durableId="914048807">
    <w:abstractNumId w:val="68"/>
  </w:num>
  <w:num w:numId="43" w16cid:durableId="1445268862">
    <w:abstractNumId w:val="75"/>
  </w:num>
  <w:num w:numId="44" w16cid:durableId="1558929183">
    <w:abstractNumId w:val="67"/>
  </w:num>
  <w:num w:numId="45" w16cid:durableId="629017080">
    <w:abstractNumId w:val="75"/>
  </w:num>
  <w:num w:numId="46" w16cid:durableId="564532298">
    <w:abstractNumId w:val="38"/>
  </w:num>
  <w:num w:numId="47" w16cid:durableId="1083989619">
    <w:abstractNumId w:val="75"/>
  </w:num>
  <w:num w:numId="48" w16cid:durableId="951134083">
    <w:abstractNumId w:val="75"/>
  </w:num>
  <w:num w:numId="49" w16cid:durableId="1510101155">
    <w:abstractNumId w:val="75"/>
  </w:num>
  <w:num w:numId="50" w16cid:durableId="340935732">
    <w:abstractNumId w:val="75"/>
  </w:num>
  <w:num w:numId="51" w16cid:durableId="1319919003">
    <w:abstractNumId w:val="75"/>
  </w:num>
  <w:num w:numId="52" w16cid:durableId="207188523">
    <w:abstractNumId w:val="27"/>
  </w:num>
  <w:num w:numId="53" w16cid:durableId="938830544">
    <w:abstractNumId w:val="6"/>
  </w:num>
  <w:num w:numId="54" w16cid:durableId="1995450940">
    <w:abstractNumId w:val="40"/>
  </w:num>
  <w:num w:numId="55" w16cid:durableId="65811141">
    <w:abstractNumId w:val="31"/>
  </w:num>
  <w:num w:numId="56" w16cid:durableId="1157919470">
    <w:abstractNumId w:val="62"/>
  </w:num>
  <w:num w:numId="57" w16cid:durableId="959337729">
    <w:abstractNumId w:val="11"/>
  </w:num>
  <w:num w:numId="58" w16cid:durableId="645207667">
    <w:abstractNumId w:val="25"/>
  </w:num>
  <w:num w:numId="59" w16cid:durableId="906065739">
    <w:abstractNumId w:val="75"/>
  </w:num>
  <w:num w:numId="60" w16cid:durableId="1191071631">
    <w:abstractNumId w:val="75"/>
  </w:num>
  <w:num w:numId="61" w16cid:durableId="588736085">
    <w:abstractNumId w:val="69"/>
  </w:num>
  <w:num w:numId="62" w16cid:durableId="1292401319">
    <w:abstractNumId w:val="33"/>
  </w:num>
  <w:num w:numId="63" w16cid:durableId="1996293809">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D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645"/>
    <w:rsid w:val="00001DDF"/>
    <w:rsid w:val="0000322D"/>
    <w:rsid w:val="00007670"/>
    <w:rsid w:val="00010665"/>
    <w:rsid w:val="000238B4"/>
    <w:rsid w:val="0002393A"/>
    <w:rsid w:val="00027DB8"/>
    <w:rsid w:val="000307A7"/>
    <w:rsid w:val="00031A96"/>
    <w:rsid w:val="000377BF"/>
    <w:rsid w:val="00040BF3"/>
    <w:rsid w:val="0004562E"/>
    <w:rsid w:val="00046C59"/>
    <w:rsid w:val="00050358"/>
    <w:rsid w:val="00051362"/>
    <w:rsid w:val="0005159F"/>
    <w:rsid w:val="00051F45"/>
    <w:rsid w:val="00052953"/>
    <w:rsid w:val="0005341A"/>
    <w:rsid w:val="00056DEF"/>
    <w:rsid w:val="0006387A"/>
    <w:rsid w:val="000720BE"/>
    <w:rsid w:val="0007259C"/>
    <w:rsid w:val="00080202"/>
    <w:rsid w:val="00080DCD"/>
    <w:rsid w:val="00080E22"/>
    <w:rsid w:val="000818A2"/>
    <w:rsid w:val="00082573"/>
    <w:rsid w:val="00082E45"/>
    <w:rsid w:val="000840A3"/>
    <w:rsid w:val="00085062"/>
    <w:rsid w:val="00085F27"/>
    <w:rsid w:val="00086A5F"/>
    <w:rsid w:val="000911EF"/>
    <w:rsid w:val="000962C5"/>
    <w:rsid w:val="000963B7"/>
    <w:rsid w:val="000A1CB0"/>
    <w:rsid w:val="000A4317"/>
    <w:rsid w:val="000A559C"/>
    <w:rsid w:val="000B280D"/>
    <w:rsid w:val="000B2CA1"/>
    <w:rsid w:val="000B5333"/>
    <w:rsid w:val="000B6E48"/>
    <w:rsid w:val="000C209B"/>
    <w:rsid w:val="000D1F29"/>
    <w:rsid w:val="000D633D"/>
    <w:rsid w:val="000E02A5"/>
    <w:rsid w:val="000E0962"/>
    <w:rsid w:val="000E342B"/>
    <w:rsid w:val="000E38FB"/>
    <w:rsid w:val="000E5DD2"/>
    <w:rsid w:val="000F2958"/>
    <w:rsid w:val="000F4805"/>
    <w:rsid w:val="00104E7F"/>
    <w:rsid w:val="00107DA9"/>
    <w:rsid w:val="00112D2A"/>
    <w:rsid w:val="001137EC"/>
    <w:rsid w:val="001152F5"/>
    <w:rsid w:val="00117743"/>
    <w:rsid w:val="00117F5B"/>
    <w:rsid w:val="00132658"/>
    <w:rsid w:val="0013793E"/>
    <w:rsid w:val="00147DED"/>
    <w:rsid w:val="00150DC0"/>
    <w:rsid w:val="00152CA1"/>
    <w:rsid w:val="00155336"/>
    <w:rsid w:val="00156CD4"/>
    <w:rsid w:val="00161CC6"/>
    <w:rsid w:val="00164A3E"/>
    <w:rsid w:val="00166FF6"/>
    <w:rsid w:val="00172C77"/>
    <w:rsid w:val="00176123"/>
    <w:rsid w:val="00181620"/>
    <w:rsid w:val="00181FCE"/>
    <w:rsid w:val="001957AD"/>
    <w:rsid w:val="001A2B7F"/>
    <w:rsid w:val="001A3AFD"/>
    <w:rsid w:val="001A496C"/>
    <w:rsid w:val="001A6304"/>
    <w:rsid w:val="001B2B6C"/>
    <w:rsid w:val="001B2FB8"/>
    <w:rsid w:val="001D01C4"/>
    <w:rsid w:val="001D52B0"/>
    <w:rsid w:val="001D5A18"/>
    <w:rsid w:val="001D7CA4"/>
    <w:rsid w:val="001E057F"/>
    <w:rsid w:val="001E14EB"/>
    <w:rsid w:val="001E1D4D"/>
    <w:rsid w:val="001E5602"/>
    <w:rsid w:val="001E6662"/>
    <w:rsid w:val="001F59E6"/>
    <w:rsid w:val="00201635"/>
    <w:rsid w:val="00202014"/>
    <w:rsid w:val="00206936"/>
    <w:rsid w:val="00206C6F"/>
    <w:rsid w:val="00206FBD"/>
    <w:rsid w:val="00207746"/>
    <w:rsid w:val="002124B3"/>
    <w:rsid w:val="00221220"/>
    <w:rsid w:val="00230031"/>
    <w:rsid w:val="00235C01"/>
    <w:rsid w:val="00236878"/>
    <w:rsid w:val="00247343"/>
    <w:rsid w:val="00247538"/>
    <w:rsid w:val="00252715"/>
    <w:rsid w:val="00264493"/>
    <w:rsid w:val="00264C90"/>
    <w:rsid w:val="00265C56"/>
    <w:rsid w:val="00266B33"/>
    <w:rsid w:val="002716CD"/>
    <w:rsid w:val="00272232"/>
    <w:rsid w:val="00274D4B"/>
    <w:rsid w:val="002806F5"/>
    <w:rsid w:val="00281577"/>
    <w:rsid w:val="002926BC"/>
    <w:rsid w:val="002928C4"/>
    <w:rsid w:val="00293A72"/>
    <w:rsid w:val="002A0160"/>
    <w:rsid w:val="002A30C3"/>
    <w:rsid w:val="002A5E90"/>
    <w:rsid w:val="002A6F6A"/>
    <w:rsid w:val="002A7712"/>
    <w:rsid w:val="002B38F7"/>
    <w:rsid w:val="002B4B6B"/>
    <w:rsid w:val="002B4C0D"/>
    <w:rsid w:val="002B5591"/>
    <w:rsid w:val="002B6AA4"/>
    <w:rsid w:val="002C1FE9"/>
    <w:rsid w:val="002C3409"/>
    <w:rsid w:val="002C3790"/>
    <w:rsid w:val="002D0679"/>
    <w:rsid w:val="002D3A57"/>
    <w:rsid w:val="002D7D05"/>
    <w:rsid w:val="002E20C8"/>
    <w:rsid w:val="002E4290"/>
    <w:rsid w:val="002E5B94"/>
    <w:rsid w:val="002E66A6"/>
    <w:rsid w:val="002F0DB1"/>
    <w:rsid w:val="002F2885"/>
    <w:rsid w:val="002F3CF1"/>
    <w:rsid w:val="002F45A1"/>
    <w:rsid w:val="003037F9"/>
    <w:rsid w:val="003039FB"/>
    <w:rsid w:val="00305430"/>
    <w:rsid w:val="0030583E"/>
    <w:rsid w:val="00307FE1"/>
    <w:rsid w:val="0031499B"/>
    <w:rsid w:val="00315377"/>
    <w:rsid w:val="003164BA"/>
    <w:rsid w:val="003216EA"/>
    <w:rsid w:val="003223FE"/>
    <w:rsid w:val="003258E6"/>
    <w:rsid w:val="003377FE"/>
    <w:rsid w:val="00342283"/>
    <w:rsid w:val="00343A87"/>
    <w:rsid w:val="00344A36"/>
    <w:rsid w:val="003456F4"/>
    <w:rsid w:val="00347FB6"/>
    <w:rsid w:val="003504FD"/>
    <w:rsid w:val="00350881"/>
    <w:rsid w:val="00353AB6"/>
    <w:rsid w:val="00357D55"/>
    <w:rsid w:val="00363513"/>
    <w:rsid w:val="003657E5"/>
    <w:rsid w:val="0036589C"/>
    <w:rsid w:val="00366FA1"/>
    <w:rsid w:val="003709B8"/>
    <w:rsid w:val="00371312"/>
    <w:rsid w:val="00371DC7"/>
    <w:rsid w:val="003765C6"/>
    <w:rsid w:val="00376BF0"/>
    <w:rsid w:val="00377B21"/>
    <w:rsid w:val="00390CE3"/>
    <w:rsid w:val="00393820"/>
    <w:rsid w:val="00394876"/>
    <w:rsid w:val="00394AAF"/>
    <w:rsid w:val="00394CE5"/>
    <w:rsid w:val="003A458E"/>
    <w:rsid w:val="003A6341"/>
    <w:rsid w:val="003B173F"/>
    <w:rsid w:val="003B67FD"/>
    <w:rsid w:val="003B6A61"/>
    <w:rsid w:val="003C3CEC"/>
    <w:rsid w:val="003D3850"/>
    <w:rsid w:val="003D42C0"/>
    <w:rsid w:val="003D5B29"/>
    <w:rsid w:val="003D604A"/>
    <w:rsid w:val="003D7818"/>
    <w:rsid w:val="003E1235"/>
    <w:rsid w:val="003E2445"/>
    <w:rsid w:val="003E3BB2"/>
    <w:rsid w:val="003E6210"/>
    <w:rsid w:val="003F5B58"/>
    <w:rsid w:val="0040222A"/>
    <w:rsid w:val="004032EB"/>
    <w:rsid w:val="00403A53"/>
    <w:rsid w:val="004047BC"/>
    <w:rsid w:val="00406497"/>
    <w:rsid w:val="004100F7"/>
    <w:rsid w:val="00414CB3"/>
    <w:rsid w:val="0041563D"/>
    <w:rsid w:val="004176D1"/>
    <w:rsid w:val="00417E19"/>
    <w:rsid w:val="00420CF5"/>
    <w:rsid w:val="00422874"/>
    <w:rsid w:val="00426E25"/>
    <w:rsid w:val="00427D9C"/>
    <w:rsid w:val="00427E7E"/>
    <w:rsid w:val="004433AE"/>
    <w:rsid w:val="00443B6E"/>
    <w:rsid w:val="004521CB"/>
    <w:rsid w:val="00453B69"/>
    <w:rsid w:val="0045420A"/>
    <w:rsid w:val="004554D4"/>
    <w:rsid w:val="00461744"/>
    <w:rsid w:val="00466185"/>
    <w:rsid w:val="004668A7"/>
    <w:rsid w:val="00466D96"/>
    <w:rsid w:val="0046749A"/>
    <w:rsid w:val="00467747"/>
    <w:rsid w:val="00473C98"/>
    <w:rsid w:val="00474965"/>
    <w:rsid w:val="00482DF8"/>
    <w:rsid w:val="004864DE"/>
    <w:rsid w:val="00486EEB"/>
    <w:rsid w:val="00494BE5"/>
    <w:rsid w:val="004A0EBA"/>
    <w:rsid w:val="004A2538"/>
    <w:rsid w:val="004B0C15"/>
    <w:rsid w:val="004B35EA"/>
    <w:rsid w:val="004B69E4"/>
    <w:rsid w:val="004B7373"/>
    <w:rsid w:val="004C2127"/>
    <w:rsid w:val="004C2BF4"/>
    <w:rsid w:val="004C50D9"/>
    <w:rsid w:val="004C6C39"/>
    <w:rsid w:val="004D075F"/>
    <w:rsid w:val="004D1B76"/>
    <w:rsid w:val="004D344E"/>
    <w:rsid w:val="004E019E"/>
    <w:rsid w:val="004E046C"/>
    <w:rsid w:val="004E06EC"/>
    <w:rsid w:val="004E0FD7"/>
    <w:rsid w:val="004E2CB7"/>
    <w:rsid w:val="004E31D1"/>
    <w:rsid w:val="004E623D"/>
    <w:rsid w:val="004E7885"/>
    <w:rsid w:val="004F016A"/>
    <w:rsid w:val="004F2206"/>
    <w:rsid w:val="00500F94"/>
    <w:rsid w:val="00502FB3"/>
    <w:rsid w:val="00503DE9"/>
    <w:rsid w:val="0050530C"/>
    <w:rsid w:val="00505DEA"/>
    <w:rsid w:val="00507782"/>
    <w:rsid w:val="00512A04"/>
    <w:rsid w:val="005249F5"/>
    <w:rsid w:val="005260F7"/>
    <w:rsid w:val="00540F83"/>
    <w:rsid w:val="00543BD1"/>
    <w:rsid w:val="00546D7E"/>
    <w:rsid w:val="00556113"/>
    <w:rsid w:val="00564C12"/>
    <w:rsid w:val="005654B8"/>
    <w:rsid w:val="0057377F"/>
    <w:rsid w:val="005762CC"/>
    <w:rsid w:val="005777BB"/>
    <w:rsid w:val="005827F1"/>
    <w:rsid w:val="00582D3D"/>
    <w:rsid w:val="00583889"/>
    <w:rsid w:val="00595386"/>
    <w:rsid w:val="005953B0"/>
    <w:rsid w:val="00595600"/>
    <w:rsid w:val="005A3621"/>
    <w:rsid w:val="005A4AC0"/>
    <w:rsid w:val="005A5A44"/>
    <w:rsid w:val="005A5FDF"/>
    <w:rsid w:val="005B0FB7"/>
    <w:rsid w:val="005B122A"/>
    <w:rsid w:val="005B5AC2"/>
    <w:rsid w:val="005C242B"/>
    <w:rsid w:val="005C2833"/>
    <w:rsid w:val="005D15D4"/>
    <w:rsid w:val="005E144D"/>
    <w:rsid w:val="005E1500"/>
    <w:rsid w:val="005E3A43"/>
    <w:rsid w:val="005E51A4"/>
    <w:rsid w:val="005E79AD"/>
    <w:rsid w:val="005F77C7"/>
    <w:rsid w:val="00620675"/>
    <w:rsid w:val="00621507"/>
    <w:rsid w:val="00622910"/>
    <w:rsid w:val="00622E24"/>
    <w:rsid w:val="00624C07"/>
    <w:rsid w:val="00634FD6"/>
    <w:rsid w:val="006433C3"/>
    <w:rsid w:val="00647A30"/>
    <w:rsid w:val="00650F5B"/>
    <w:rsid w:val="00652DC0"/>
    <w:rsid w:val="00655668"/>
    <w:rsid w:val="00660584"/>
    <w:rsid w:val="006634C6"/>
    <w:rsid w:val="00664211"/>
    <w:rsid w:val="006670D7"/>
    <w:rsid w:val="006672D1"/>
    <w:rsid w:val="00667797"/>
    <w:rsid w:val="006719EA"/>
    <w:rsid w:val="00671F13"/>
    <w:rsid w:val="0067400A"/>
    <w:rsid w:val="006747E0"/>
    <w:rsid w:val="006847AD"/>
    <w:rsid w:val="0069114B"/>
    <w:rsid w:val="006A756A"/>
    <w:rsid w:val="006B3C9A"/>
    <w:rsid w:val="006C396A"/>
    <w:rsid w:val="006C6F0E"/>
    <w:rsid w:val="006D1ADA"/>
    <w:rsid w:val="006D4826"/>
    <w:rsid w:val="006D66F7"/>
    <w:rsid w:val="006E3B5D"/>
    <w:rsid w:val="00702D61"/>
    <w:rsid w:val="00704A93"/>
    <w:rsid w:val="00705C9D"/>
    <w:rsid w:val="00705F13"/>
    <w:rsid w:val="00706D8D"/>
    <w:rsid w:val="00710389"/>
    <w:rsid w:val="00714F1D"/>
    <w:rsid w:val="00715225"/>
    <w:rsid w:val="00717C37"/>
    <w:rsid w:val="00720CC6"/>
    <w:rsid w:val="00722DDB"/>
    <w:rsid w:val="00724728"/>
    <w:rsid w:val="00724F98"/>
    <w:rsid w:val="00730B9B"/>
    <w:rsid w:val="0073182E"/>
    <w:rsid w:val="007332FF"/>
    <w:rsid w:val="007408F5"/>
    <w:rsid w:val="00741EAE"/>
    <w:rsid w:val="007551E1"/>
    <w:rsid w:val="00755248"/>
    <w:rsid w:val="00755616"/>
    <w:rsid w:val="007557E0"/>
    <w:rsid w:val="0076190B"/>
    <w:rsid w:val="0076355D"/>
    <w:rsid w:val="00763A2D"/>
    <w:rsid w:val="007761D8"/>
    <w:rsid w:val="00777795"/>
    <w:rsid w:val="00783A57"/>
    <w:rsid w:val="00784C92"/>
    <w:rsid w:val="0078573E"/>
    <w:rsid w:val="007859CD"/>
    <w:rsid w:val="00786FA3"/>
    <w:rsid w:val="007907E4"/>
    <w:rsid w:val="007949DF"/>
    <w:rsid w:val="00796461"/>
    <w:rsid w:val="00797696"/>
    <w:rsid w:val="007A6A4F"/>
    <w:rsid w:val="007B03F5"/>
    <w:rsid w:val="007B59D3"/>
    <w:rsid w:val="007B5C09"/>
    <w:rsid w:val="007B5DA2"/>
    <w:rsid w:val="007C0966"/>
    <w:rsid w:val="007C19E7"/>
    <w:rsid w:val="007C5CFD"/>
    <w:rsid w:val="007C6D9F"/>
    <w:rsid w:val="007D4893"/>
    <w:rsid w:val="007D7697"/>
    <w:rsid w:val="007E70CF"/>
    <w:rsid w:val="007E74A4"/>
    <w:rsid w:val="007F263F"/>
    <w:rsid w:val="007F46EA"/>
    <w:rsid w:val="007F5579"/>
    <w:rsid w:val="008002E8"/>
    <w:rsid w:val="00804ECA"/>
    <w:rsid w:val="0080766E"/>
    <w:rsid w:val="008105BE"/>
    <w:rsid w:val="00811169"/>
    <w:rsid w:val="00815297"/>
    <w:rsid w:val="00817BA1"/>
    <w:rsid w:val="00821D46"/>
    <w:rsid w:val="00823022"/>
    <w:rsid w:val="0082634E"/>
    <w:rsid w:val="008313C4"/>
    <w:rsid w:val="00832B35"/>
    <w:rsid w:val="00835434"/>
    <w:rsid w:val="008358C0"/>
    <w:rsid w:val="00842838"/>
    <w:rsid w:val="00843091"/>
    <w:rsid w:val="00852724"/>
    <w:rsid w:val="00854B9F"/>
    <w:rsid w:val="00854BE6"/>
    <w:rsid w:val="00854EC1"/>
    <w:rsid w:val="0085797F"/>
    <w:rsid w:val="00861DC3"/>
    <w:rsid w:val="00865871"/>
    <w:rsid w:val="00866774"/>
    <w:rsid w:val="00867019"/>
    <w:rsid w:val="008735A9"/>
    <w:rsid w:val="0087667F"/>
    <w:rsid w:val="00877D20"/>
    <w:rsid w:val="00881C48"/>
    <w:rsid w:val="00885590"/>
    <w:rsid w:val="00885B80"/>
    <w:rsid w:val="00885C30"/>
    <w:rsid w:val="00885E9B"/>
    <w:rsid w:val="00886C9D"/>
    <w:rsid w:val="00893C96"/>
    <w:rsid w:val="0089500A"/>
    <w:rsid w:val="00896D2D"/>
    <w:rsid w:val="00897C94"/>
    <w:rsid w:val="008A51A3"/>
    <w:rsid w:val="008A63F6"/>
    <w:rsid w:val="008A7C12"/>
    <w:rsid w:val="008B03CE"/>
    <w:rsid w:val="008B529E"/>
    <w:rsid w:val="008C17FB"/>
    <w:rsid w:val="008C4166"/>
    <w:rsid w:val="008D1B00"/>
    <w:rsid w:val="008D57B8"/>
    <w:rsid w:val="008E0345"/>
    <w:rsid w:val="008E03FC"/>
    <w:rsid w:val="008E324C"/>
    <w:rsid w:val="008E510B"/>
    <w:rsid w:val="008F6240"/>
    <w:rsid w:val="00902B13"/>
    <w:rsid w:val="0090784C"/>
    <w:rsid w:val="00911941"/>
    <w:rsid w:val="009138A0"/>
    <w:rsid w:val="00925F0F"/>
    <w:rsid w:val="00930C91"/>
    <w:rsid w:val="00931CC8"/>
    <w:rsid w:val="00932F6B"/>
    <w:rsid w:val="009436FF"/>
    <w:rsid w:val="009468BC"/>
    <w:rsid w:val="00946C1F"/>
    <w:rsid w:val="009526AA"/>
    <w:rsid w:val="00954959"/>
    <w:rsid w:val="00954AA7"/>
    <w:rsid w:val="009616DF"/>
    <w:rsid w:val="00962D5E"/>
    <w:rsid w:val="00964B22"/>
    <w:rsid w:val="0096542F"/>
    <w:rsid w:val="00966B57"/>
    <w:rsid w:val="00967FA7"/>
    <w:rsid w:val="00971645"/>
    <w:rsid w:val="0097312B"/>
    <w:rsid w:val="00976F0D"/>
    <w:rsid w:val="00977919"/>
    <w:rsid w:val="00983000"/>
    <w:rsid w:val="00984D9B"/>
    <w:rsid w:val="009863A2"/>
    <w:rsid w:val="009870FA"/>
    <w:rsid w:val="009921C3"/>
    <w:rsid w:val="00994F20"/>
    <w:rsid w:val="0099551D"/>
    <w:rsid w:val="009A209B"/>
    <w:rsid w:val="009A5897"/>
    <w:rsid w:val="009A5F24"/>
    <w:rsid w:val="009B0B3E"/>
    <w:rsid w:val="009B1913"/>
    <w:rsid w:val="009B34DD"/>
    <w:rsid w:val="009B6657"/>
    <w:rsid w:val="009B7C35"/>
    <w:rsid w:val="009C21F1"/>
    <w:rsid w:val="009C3CF5"/>
    <w:rsid w:val="009C7E48"/>
    <w:rsid w:val="009D0EB5"/>
    <w:rsid w:val="009D14F9"/>
    <w:rsid w:val="009D2B74"/>
    <w:rsid w:val="009D51E0"/>
    <w:rsid w:val="009D63FF"/>
    <w:rsid w:val="009E175D"/>
    <w:rsid w:val="009E2315"/>
    <w:rsid w:val="009E3CC2"/>
    <w:rsid w:val="009F06BD"/>
    <w:rsid w:val="009F2A4D"/>
    <w:rsid w:val="009F309B"/>
    <w:rsid w:val="009F3302"/>
    <w:rsid w:val="00A00828"/>
    <w:rsid w:val="00A03290"/>
    <w:rsid w:val="00A05D2C"/>
    <w:rsid w:val="00A07490"/>
    <w:rsid w:val="00A10655"/>
    <w:rsid w:val="00A1197C"/>
    <w:rsid w:val="00A12B64"/>
    <w:rsid w:val="00A22C38"/>
    <w:rsid w:val="00A25193"/>
    <w:rsid w:val="00A26E80"/>
    <w:rsid w:val="00A31AE8"/>
    <w:rsid w:val="00A32EFF"/>
    <w:rsid w:val="00A33B4B"/>
    <w:rsid w:val="00A3739D"/>
    <w:rsid w:val="00A37DDA"/>
    <w:rsid w:val="00A37ED8"/>
    <w:rsid w:val="00A50829"/>
    <w:rsid w:val="00A61B43"/>
    <w:rsid w:val="00A766CB"/>
    <w:rsid w:val="00A82BE4"/>
    <w:rsid w:val="00A925EC"/>
    <w:rsid w:val="00A929AA"/>
    <w:rsid w:val="00A92B6B"/>
    <w:rsid w:val="00A955A9"/>
    <w:rsid w:val="00AA1FAF"/>
    <w:rsid w:val="00AA28A0"/>
    <w:rsid w:val="00AA3D25"/>
    <w:rsid w:val="00AA4C49"/>
    <w:rsid w:val="00AA541E"/>
    <w:rsid w:val="00AC25BE"/>
    <w:rsid w:val="00AC6411"/>
    <w:rsid w:val="00AD004A"/>
    <w:rsid w:val="00AD0DA4"/>
    <w:rsid w:val="00AD134E"/>
    <w:rsid w:val="00AD1B26"/>
    <w:rsid w:val="00AD23F7"/>
    <w:rsid w:val="00AD4169"/>
    <w:rsid w:val="00AD4FDE"/>
    <w:rsid w:val="00AD7557"/>
    <w:rsid w:val="00AE23F3"/>
    <w:rsid w:val="00AE25C6"/>
    <w:rsid w:val="00AE306C"/>
    <w:rsid w:val="00AE7304"/>
    <w:rsid w:val="00AF28C1"/>
    <w:rsid w:val="00AF7C21"/>
    <w:rsid w:val="00B00AA6"/>
    <w:rsid w:val="00B01679"/>
    <w:rsid w:val="00B0174A"/>
    <w:rsid w:val="00B02EF1"/>
    <w:rsid w:val="00B041BE"/>
    <w:rsid w:val="00B070B3"/>
    <w:rsid w:val="00B07C97"/>
    <w:rsid w:val="00B07EA1"/>
    <w:rsid w:val="00B10820"/>
    <w:rsid w:val="00B11C67"/>
    <w:rsid w:val="00B15754"/>
    <w:rsid w:val="00B15A27"/>
    <w:rsid w:val="00B2046E"/>
    <w:rsid w:val="00B20E8B"/>
    <w:rsid w:val="00B21CEB"/>
    <w:rsid w:val="00B257E1"/>
    <w:rsid w:val="00B2599A"/>
    <w:rsid w:val="00B27AC4"/>
    <w:rsid w:val="00B343CC"/>
    <w:rsid w:val="00B3503E"/>
    <w:rsid w:val="00B43C75"/>
    <w:rsid w:val="00B5084A"/>
    <w:rsid w:val="00B56D6D"/>
    <w:rsid w:val="00B606A1"/>
    <w:rsid w:val="00B614F7"/>
    <w:rsid w:val="00B61B26"/>
    <w:rsid w:val="00B675B2"/>
    <w:rsid w:val="00B81261"/>
    <w:rsid w:val="00B8223E"/>
    <w:rsid w:val="00B832AE"/>
    <w:rsid w:val="00B86678"/>
    <w:rsid w:val="00B90BE7"/>
    <w:rsid w:val="00B92F9B"/>
    <w:rsid w:val="00B941B3"/>
    <w:rsid w:val="00B96021"/>
    <w:rsid w:val="00B96513"/>
    <w:rsid w:val="00BA1D47"/>
    <w:rsid w:val="00BA66F0"/>
    <w:rsid w:val="00BB2239"/>
    <w:rsid w:val="00BB2AE7"/>
    <w:rsid w:val="00BB6464"/>
    <w:rsid w:val="00BC1BB8"/>
    <w:rsid w:val="00BD0F38"/>
    <w:rsid w:val="00BD31BB"/>
    <w:rsid w:val="00BD7FE1"/>
    <w:rsid w:val="00BE37CA"/>
    <w:rsid w:val="00BE4B2A"/>
    <w:rsid w:val="00BE6144"/>
    <w:rsid w:val="00BE635A"/>
    <w:rsid w:val="00BF17E9"/>
    <w:rsid w:val="00BF2ABB"/>
    <w:rsid w:val="00BF5099"/>
    <w:rsid w:val="00C0113E"/>
    <w:rsid w:val="00C04645"/>
    <w:rsid w:val="00C10F10"/>
    <w:rsid w:val="00C14069"/>
    <w:rsid w:val="00C15D4D"/>
    <w:rsid w:val="00C175DC"/>
    <w:rsid w:val="00C177D3"/>
    <w:rsid w:val="00C30171"/>
    <w:rsid w:val="00C309D8"/>
    <w:rsid w:val="00C322C6"/>
    <w:rsid w:val="00C33998"/>
    <w:rsid w:val="00C43519"/>
    <w:rsid w:val="00C51537"/>
    <w:rsid w:val="00C5193C"/>
    <w:rsid w:val="00C52BC3"/>
    <w:rsid w:val="00C5584B"/>
    <w:rsid w:val="00C57230"/>
    <w:rsid w:val="00C61AFA"/>
    <w:rsid w:val="00C61D64"/>
    <w:rsid w:val="00C62099"/>
    <w:rsid w:val="00C64EA3"/>
    <w:rsid w:val="00C72867"/>
    <w:rsid w:val="00C75E81"/>
    <w:rsid w:val="00C75F52"/>
    <w:rsid w:val="00C77CB9"/>
    <w:rsid w:val="00C86609"/>
    <w:rsid w:val="00C92B4C"/>
    <w:rsid w:val="00C954F6"/>
    <w:rsid w:val="00C95D30"/>
    <w:rsid w:val="00CA6BC5"/>
    <w:rsid w:val="00CB3E57"/>
    <w:rsid w:val="00CC1CCA"/>
    <w:rsid w:val="00CC61CD"/>
    <w:rsid w:val="00CD5011"/>
    <w:rsid w:val="00CE40A2"/>
    <w:rsid w:val="00CE640F"/>
    <w:rsid w:val="00CE76BC"/>
    <w:rsid w:val="00CF540E"/>
    <w:rsid w:val="00CF5D9A"/>
    <w:rsid w:val="00CF769B"/>
    <w:rsid w:val="00D02F07"/>
    <w:rsid w:val="00D03CBD"/>
    <w:rsid w:val="00D23346"/>
    <w:rsid w:val="00D260DC"/>
    <w:rsid w:val="00D2646E"/>
    <w:rsid w:val="00D27EBE"/>
    <w:rsid w:val="00D36A49"/>
    <w:rsid w:val="00D50F37"/>
    <w:rsid w:val="00D517C6"/>
    <w:rsid w:val="00D54F0A"/>
    <w:rsid w:val="00D5655B"/>
    <w:rsid w:val="00D64806"/>
    <w:rsid w:val="00D71D84"/>
    <w:rsid w:val="00D72464"/>
    <w:rsid w:val="00D768EB"/>
    <w:rsid w:val="00D82D1E"/>
    <w:rsid w:val="00D832D9"/>
    <w:rsid w:val="00D84311"/>
    <w:rsid w:val="00D84B9D"/>
    <w:rsid w:val="00D90F00"/>
    <w:rsid w:val="00D94F6B"/>
    <w:rsid w:val="00D97046"/>
    <w:rsid w:val="00D975C0"/>
    <w:rsid w:val="00DA1601"/>
    <w:rsid w:val="00DA3E37"/>
    <w:rsid w:val="00DA5285"/>
    <w:rsid w:val="00DB191D"/>
    <w:rsid w:val="00DB4F91"/>
    <w:rsid w:val="00DC0244"/>
    <w:rsid w:val="00DC1EF7"/>
    <w:rsid w:val="00DC1F0F"/>
    <w:rsid w:val="00DC3117"/>
    <w:rsid w:val="00DC4F16"/>
    <w:rsid w:val="00DC5DD9"/>
    <w:rsid w:val="00DC6D2D"/>
    <w:rsid w:val="00DD44E6"/>
    <w:rsid w:val="00DD64C2"/>
    <w:rsid w:val="00DD7CF0"/>
    <w:rsid w:val="00DE33B5"/>
    <w:rsid w:val="00DE5E18"/>
    <w:rsid w:val="00DE6E01"/>
    <w:rsid w:val="00DF0487"/>
    <w:rsid w:val="00DF4114"/>
    <w:rsid w:val="00DF5EA4"/>
    <w:rsid w:val="00DF73AC"/>
    <w:rsid w:val="00E014DD"/>
    <w:rsid w:val="00E02681"/>
    <w:rsid w:val="00E02792"/>
    <w:rsid w:val="00E034D8"/>
    <w:rsid w:val="00E04CC0"/>
    <w:rsid w:val="00E15816"/>
    <w:rsid w:val="00E160D5"/>
    <w:rsid w:val="00E21861"/>
    <w:rsid w:val="00E219A3"/>
    <w:rsid w:val="00E239FF"/>
    <w:rsid w:val="00E27D7B"/>
    <w:rsid w:val="00E30556"/>
    <w:rsid w:val="00E30981"/>
    <w:rsid w:val="00E33136"/>
    <w:rsid w:val="00E34152"/>
    <w:rsid w:val="00E34D7C"/>
    <w:rsid w:val="00E36C7E"/>
    <w:rsid w:val="00E3723D"/>
    <w:rsid w:val="00E44C89"/>
    <w:rsid w:val="00E45536"/>
    <w:rsid w:val="00E47E6B"/>
    <w:rsid w:val="00E61BA2"/>
    <w:rsid w:val="00E63586"/>
    <w:rsid w:val="00E63864"/>
    <w:rsid w:val="00E6403F"/>
    <w:rsid w:val="00E64725"/>
    <w:rsid w:val="00E76421"/>
    <w:rsid w:val="00E770C4"/>
    <w:rsid w:val="00E77ACA"/>
    <w:rsid w:val="00E818D7"/>
    <w:rsid w:val="00E84C5A"/>
    <w:rsid w:val="00E861DB"/>
    <w:rsid w:val="00E90FA2"/>
    <w:rsid w:val="00E93406"/>
    <w:rsid w:val="00E956C5"/>
    <w:rsid w:val="00E95C39"/>
    <w:rsid w:val="00EA2C39"/>
    <w:rsid w:val="00EB0A3C"/>
    <w:rsid w:val="00EB0A96"/>
    <w:rsid w:val="00EB3D43"/>
    <w:rsid w:val="00EB77F9"/>
    <w:rsid w:val="00EC5769"/>
    <w:rsid w:val="00EC7D00"/>
    <w:rsid w:val="00ED0304"/>
    <w:rsid w:val="00ED087C"/>
    <w:rsid w:val="00ED2E8E"/>
    <w:rsid w:val="00EE38FA"/>
    <w:rsid w:val="00EE3E2C"/>
    <w:rsid w:val="00EE466C"/>
    <w:rsid w:val="00EE5D23"/>
    <w:rsid w:val="00EE6230"/>
    <w:rsid w:val="00EE750D"/>
    <w:rsid w:val="00EF3CA4"/>
    <w:rsid w:val="00EF432F"/>
    <w:rsid w:val="00EF5E1F"/>
    <w:rsid w:val="00EF7859"/>
    <w:rsid w:val="00F014DA"/>
    <w:rsid w:val="00F0175E"/>
    <w:rsid w:val="00F02591"/>
    <w:rsid w:val="00F07D6C"/>
    <w:rsid w:val="00F07DA0"/>
    <w:rsid w:val="00F13212"/>
    <w:rsid w:val="00F13986"/>
    <w:rsid w:val="00F14273"/>
    <w:rsid w:val="00F15D8F"/>
    <w:rsid w:val="00F34B30"/>
    <w:rsid w:val="00F44928"/>
    <w:rsid w:val="00F479D5"/>
    <w:rsid w:val="00F5663B"/>
    <w:rsid w:val="00F5696E"/>
    <w:rsid w:val="00F60EB2"/>
    <w:rsid w:val="00F60EFF"/>
    <w:rsid w:val="00F6397E"/>
    <w:rsid w:val="00F6787B"/>
    <w:rsid w:val="00F67D2D"/>
    <w:rsid w:val="00F70155"/>
    <w:rsid w:val="00F84389"/>
    <w:rsid w:val="00F860CC"/>
    <w:rsid w:val="00F90858"/>
    <w:rsid w:val="00F94398"/>
    <w:rsid w:val="00FA228B"/>
    <w:rsid w:val="00FA4629"/>
    <w:rsid w:val="00FA64B4"/>
    <w:rsid w:val="00FA6B6D"/>
    <w:rsid w:val="00FB0A2D"/>
    <w:rsid w:val="00FB2B56"/>
    <w:rsid w:val="00FB4E3A"/>
    <w:rsid w:val="00FC12BF"/>
    <w:rsid w:val="00FC16A5"/>
    <w:rsid w:val="00FC1A7C"/>
    <w:rsid w:val="00FC2C60"/>
    <w:rsid w:val="00FC64AB"/>
    <w:rsid w:val="00FC6D45"/>
    <w:rsid w:val="00FD074C"/>
    <w:rsid w:val="00FD3E6F"/>
    <w:rsid w:val="00FD51B9"/>
    <w:rsid w:val="00FE2A39"/>
    <w:rsid w:val="00FE2EF6"/>
    <w:rsid w:val="00FF3727"/>
    <w:rsid w:val="00FF39CF"/>
    <w:rsid w:val="00FF43B4"/>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5F1A1"/>
  <w15:docId w15:val="{8A1EAE4A-6C8D-4313-A602-3048C6CC7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w:eastAsia="Calibri" w:hAnsi="Lato" w:cs="Times New Roman"/>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uiPriority="2"/>
    <w:lsdException w:name="heading 6" w:uiPriority="2"/>
    <w:lsdException w:name="heading 7" w:uiPriority="2"/>
    <w:lsdException w:name="heading 8" w:uiPriority="2"/>
    <w:lsdException w:name="heading 9" w:uiPriority="2"/>
    <w:lsdException w:name="index 1" w:semiHidden="1" w:unhideWhenUsed="1"/>
    <w:lsdException w:name="index 2" w:semiHidden="1" w:unhideWhenUsed="1"/>
    <w:lsdException w:name="index 3" w:semiHidden="1" w:unhideWhenUsed="1"/>
    <w:lsdException w:name="index 4" w:semiHidden="1" w:unhideWhenUsed="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8" w:unhideWhenUsed="1"/>
    <w:lsdException w:name="footer" w:semiHidden="1" w:unhideWhenUsed="1"/>
    <w:lsdException w:name="index heading" w:semiHidden="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iPriority="8"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qFormat="1"/>
    <w:lsdException w:name="List Number 2" w:semiHidden="1"/>
    <w:lsdException w:name="List Number 3" w:semiHidden="1"/>
    <w:lsdException w:name="List Number 4" w:semiHidden="1"/>
    <w:lsdException w:name="List Number 5" w:semiHidden="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453B69"/>
  </w:style>
  <w:style w:type="paragraph" w:styleId="Heading1">
    <w:name w:val="heading 1"/>
    <w:basedOn w:val="Normal"/>
    <w:next w:val="Normal"/>
    <w:link w:val="Heading1Char"/>
    <w:uiPriority w:val="1"/>
    <w:qFormat/>
    <w:rsid w:val="00082E45"/>
    <w:pPr>
      <w:numPr>
        <w:numId w:val="3"/>
      </w:numPr>
      <w:spacing w:before="240"/>
      <w:outlineLvl w:val="0"/>
    </w:pPr>
    <w:rPr>
      <w:rFonts w:asciiTheme="majorHAnsi" w:eastAsiaTheme="majorEastAsia" w:hAnsiTheme="majorHAnsi" w:cstheme="majorBidi"/>
      <w:bCs/>
      <w:color w:val="007E91" w:themeColor="text1"/>
      <w:kern w:val="32"/>
      <w:sz w:val="36"/>
      <w:szCs w:val="32"/>
    </w:rPr>
  </w:style>
  <w:style w:type="paragraph" w:styleId="Heading2">
    <w:name w:val="heading 2"/>
    <w:basedOn w:val="Normal"/>
    <w:next w:val="Normal"/>
    <w:link w:val="Heading2Char"/>
    <w:uiPriority w:val="1"/>
    <w:qFormat/>
    <w:rsid w:val="003E1235"/>
    <w:pPr>
      <w:numPr>
        <w:ilvl w:val="1"/>
        <w:numId w:val="3"/>
      </w:numPr>
      <w:spacing w:before="240"/>
      <w:ind w:left="576"/>
      <w:outlineLvl w:val="1"/>
    </w:pPr>
    <w:rPr>
      <w:rFonts w:asciiTheme="majorHAnsi" w:eastAsiaTheme="majorEastAsia" w:hAnsiTheme="majorHAnsi" w:cstheme="majorBidi"/>
      <w:bCs/>
      <w:iCs/>
      <w:color w:val="44546A" w:themeColor="text2"/>
      <w:sz w:val="32"/>
      <w:szCs w:val="32"/>
    </w:rPr>
  </w:style>
  <w:style w:type="paragraph" w:styleId="Heading3">
    <w:name w:val="heading 3"/>
    <w:basedOn w:val="Normal"/>
    <w:next w:val="Normal"/>
    <w:link w:val="Heading3Char"/>
    <w:uiPriority w:val="1"/>
    <w:qFormat/>
    <w:rsid w:val="00082E45"/>
    <w:pPr>
      <w:numPr>
        <w:ilvl w:val="2"/>
        <w:numId w:val="3"/>
      </w:numPr>
      <w:spacing w:before="240"/>
      <w:outlineLvl w:val="2"/>
    </w:pPr>
    <w:rPr>
      <w:rFonts w:asciiTheme="majorHAnsi" w:hAnsiTheme="majorHAnsi" w:cs="Arial"/>
      <w:bCs/>
      <w:color w:val="007E91" w:themeColor="accent1"/>
      <w:sz w:val="28"/>
      <w:szCs w:val="28"/>
    </w:rPr>
  </w:style>
  <w:style w:type="paragraph" w:styleId="Heading4">
    <w:name w:val="heading 4"/>
    <w:basedOn w:val="Normal"/>
    <w:next w:val="Normal"/>
    <w:link w:val="Heading4Char"/>
    <w:uiPriority w:val="1"/>
    <w:qFormat/>
    <w:rsid w:val="00082E45"/>
    <w:pPr>
      <w:numPr>
        <w:ilvl w:val="3"/>
        <w:numId w:val="3"/>
      </w:numPr>
      <w:spacing w:before="240"/>
      <w:ind w:left="862" w:hanging="862"/>
      <w:outlineLvl w:val="3"/>
    </w:pPr>
    <w:rPr>
      <w:rFonts w:asciiTheme="majorHAnsi" w:eastAsiaTheme="majorEastAsia" w:hAnsiTheme="majorHAnsi" w:cstheme="majorBidi"/>
      <w:bCs/>
      <w:iCs/>
      <w:color w:val="44546A" w:themeColor="text2"/>
      <w:sz w:val="24"/>
    </w:rPr>
  </w:style>
  <w:style w:type="paragraph" w:styleId="Heading5">
    <w:name w:val="heading 5"/>
    <w:basedOn w:val="Normal"/>
    <w:next w:val="Normal"/>
    <w:link w:val="Heading5Char"/>
    <w:uiPriority w:val="2"/>
    <w:semiHidden/>
    <w:rsid w:val="00082E45"/>
    <w:pPr>
      <w:numPr>
        <w:ilvl w:val="4"/>
        <w:numId w:val="3"/>
      </w:numPr>
      <w:ind w:left="1009" w:hanging="1009"/>
      <w:outlineLvl w:val="4"/>
    </w:pPr>
    <w:rPr>
      <w:rFonts w:asciiTheme="majorHAnsi" w:hAnsiTheme="majorHAnsi"/>
      <w:color w:val="007E91" w:themeColor="text1"/>
      <w:lang w:eastAsia="en-AU"/>
    </w:rPr>
  </w:style>
  <w:style w:type="paragraph" w:styleId="Heading6">
    <w:name w:val="heading 6"/>
    <w:basedOn w:val="Normal"/>
    <w:next w:val="Normal"/>
    <w:link w:val="Heading6Char"/>
    <w:uiPriority w:val="2"/>
    <w:semiHidden/>
    <w:rsid w:val="00082E45"/>
    <w:pPr>
      <w:numPr>
        <w:ilvl w:val="5"/>
        <w:numId w:val="3"/>
      </w:numPr>
      <w:ind w:left="1151" w:hanging="1151"/>
      <w:outlineLvl w:val="5"/>
    </w:pPr>
    <w:rPr>
      <w:rFonts w:asciiTheme="majorHAnsi" w:hAnsiTheme="majorHAnsi"/>
      <w:color w:val="44546A" w:themeColor="text2"/>
      <w:lang w:eastAsia="en-AU"/>
    </w:rPr>
  </w:style>
  <w:style w:type="paragraph" w:styleId="Heading7">
    <w:name w:val="heading 7"/>
    <w:basedOn w:val="Normal"/>
    <w:next w:val="Normal"/>
    <w:link w:val="Heading7Char"/>
    <w:uiPriority w:val="2"/>
    <w:semiHidden/>
    <w:rsid w:val="00082E45"/>
    <w:pPr>
      <w:numPr>
        <w:ilvl w:val="6"/>
        <w:numId w:val="3"/>
      </w:numPr>
      <w:ind w:left="1298" w:hanging="1298"/>
      <w:outlineLvl w:val="6"/>
    </w:pPr>
    <w:rPr>
      <w:rFonts w:asciiTheme="majorHAnsi" w:hAnsiTheme="majorHAnsi"/>
      <w:color w:val="007E91" w:themeColor="text1"/>
      <w:lang w:eastAsia="en-AU"/>
    </w:rPr>
  </w:style>
  <w:style w:type="paragraph" w:styleId="Heading8">
    <w:name w:val="heading 8"/>
    <w:basedOn w:val="Normal"/>
    <w:next w:val="Normal"/>
    <w:link w:val="Heading8Char"/>
    <w:uiPriority w:val="2"/>
    <w:semiHidden/>
    <w:rsid w:val="00962D5E"/>
    <w:pPr>
      <w:numPr>
        <w:ilvl w:val="7"/>
        <w:numId w:val="3"/>
      </w:numPr>
      <w:outlineLvl w:val="7"/>
    </w:pPr>
    <w:rPr>
      <w:rFonts w:asciiTheme="majorHAnsi" w:hAnsiTheme="majorHAnsi"/>
      <w:color w:val="44546A" w:themeColor="text2"/>
      <w:lang w:eastAsia="en-AU"/>
    </w:rPr>
  </w:style>
  <w:style w:type="paragraph" w:styleId="Heading9">
    <w:name w:val="heading 9"/>
    <w:basedOn w:val="Normal"/>
    <w:next w:val="Normal"/>
    <w:link w:val="Heading9Char"/>
    <w:uiPriority w:val="2"/>
    <w:semiHidden/>
    <w:rsid w:val="00962D5E"/>
    <w:pPr>
      <w:numPr>
        <w:ilvl w:val="8"/>
        <w:numId w:val="3"/>
      </w:numPr>
      <w:ind w:left="1582" w:hanging="1582"/>
      <w:outlineLvl w:val="8"/>
    </w:pPr>
    <w:rPr>
      <w:rFonts w:asciiTheme="majorHAnsi" w:hAnsiTheme="majorHAnsi"/>
      <w:color w:val="007E91" w:themeColor="text1"/>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semiHidden/>
    <w:rsid w:val="003504FD"/>
  </w:style>
  <w:style w:type="character" w:customStyle="1" w:styleId="Heading1Char">
    <w:name w:val="Heading 1 Char"/>
    <w:basedOn w:val="DefaultParagraphFont"/>
    <w:link w:val="Heading1"/>
    <w:uiPriority w:val="1"/>
    <w:rsid w:val="00315377"/>
    <w:rPr>
      <w:rFonts w:asciiTheme="majorHAnsi" w:eastAsiaTheme="majorEastAsia" w:hAnsiTheme="majorHAnsi" w:cstheme="majorBidi"/>
      <w:bCs/>
      <w:color w:val="007E91" w:themeColor="text1"/>
      <w:kern w:val="32"/>
      <w:sz w:val="36"/>
      <w:szCs w:val="32"/>
    </w:rPr>
  </w:style>
  <w:style w:type="character" w:customStyle="1" w:styleId="Heading2Char">
    <w:name w:val="Heading 2 Char"/>
    <w:basedOn w:val="DefaultParagraphFont"/>
    <w:link w:val="Heading2"/>
    <w:uiPriority w:val="1"/>
    <w:rsid w:val="003E1235"/>
    <w:rPr>
      <w:rFonts w:asciiTheme="majorHAnsi" w:eastAsiaTheme="majorEastAsia" w:hAnsiTheme="majorHAnsi" w:cstheme="majorBidi"/>
      <w:bCs/>
      <w:iCs/>
      <w:color w:val="44546A" w:themeColor="text2"/>
      <w:sz w:val="32"/>
      <w:szCs w:val="32"/>
    </w:rPr>
  </w:style>
  <w:style w:type="paragraph" w:styleId="Title">
    <w:name w:val="Title"/>
    <w:basedOn w:val="Normal"/>
    <w:next w:val="Normal"/>
    <w:link w:val="TitleChar"/>
    <w:qFormat/>
    <w:rsid w:val="00ED2E8E"/>
    <w:pPr>
      <w:jc w:val="right"/>
    </w:pPr>
    <w:rPr>
      <w:rFonts w:ascii="Lato Semibold" w:eastAsia="Times New Roman" w:hAnsi="Lato Semibold"/>
      <w:bCs/>
      <w:color w:val="FFFFFF" w:themeColor="background1"/>
      <w:kern w:val="32"/>
      <w:sz w:val="60"/>
      <w:szCs w:val="64"/>
    </w:rPr>
  </w:style>
  <w:style w:type="character" w:customStyle="1" w:styleId="TitleChar">
    <w:name w:val="Title Char"/>
    <w:basedOn w:val="DefaultParagraphFont"/>
    <w:link w:val="Title"/>
    <w:rsid w:val="00ED2E8E"/>
    <w:rPr>
      <w:rFonts w:ascii="Lato Semibold" w:eastAsia="Times New Roman" w:hAnsi="Lato Semibold"/>
      <w:bCs/>
      <w:color w:val="FFFFFF" w:themeColor="background1"/>
      <w:kern w:val="32"/>
      <w:sz w:val="60"/>
      <w:szCs w:val="64"/>
    </w:rPr>
  </w:style>
  <w:style w:type="paragraph" w:styleId="Subtitle">
    <w:name w:val="Subtitle"/>
    <w:basedOn w:val="Normal"/>
    <w:next w:val="Normal"/>
    <w:link w:val="SubtitleChar"/>
    <w:qFormat/>
    <w:rsid w:val="00ED2E8E"/>
    <w:pPr>
      <w:numPr>
        <w:ilvl w:val="1"/>
      </w:numPr>
      <w:spacing w:after="160"/>
      <w:jc w:val="right"/>
    </w:pPr>
    <w:rPr>
      <w:rFonts w:ascii="Lato Semibold" w:eastAsia="Times New Roman" w:hAnsi="Lato Semibold"/>
      <w:color w:val="FFFFFF" w:themeColor="background1"/>
      <w:sz w:val="40"/>
    </w:rPr>
  </w:style>
  <w:style w:type="character" w:customStyle="1" w:styleId="SubtitleChar">
    <w:name w:val="Subtitle Char"/>
    <w:basedOn w:val="DefaultParagraphFont"/>
    <w:link w:val="Subtitle"/>
    <w:rsid w:val="00315377"/>
    <w:rPr>
      <w:rFonts w:ascii="Lato Semibold" w:eastAsia="Times New Roman" w:hAnsi="Lato Semibold"/>
      <w:color w:val="FFFFFF" w:themeColor="background1"/>
      <w:sz w:val="40"/>
    </w:rPr>
  </w:style>
  <w:style w:type="character" w:customStyle="1" w:styleId="Heading3Char">
    <w:name w:val="Heading 3 Char"/>
    <w:basedOn w:val="DefaultParagraphFont"/>
    <w:link w:val="Heading3"/>
    <w:uiPriority w:val="1"/>
    <w:rsid w:val="00315377"/>
    <w:rPr>
      <w:rFonts w:asciiTheme="majorHAnsi" w:hAnsiTheme="majorHAnsi" w:cs="Arial"/>
      <w:bCs/>
      <w:color w:val="007E91" w:themeColor="accent1"/>
      <w:sz w:val="28"/>
      <w:szCs w:val="28"/>
    </w:rPr>
  </w:style>
  <w:style w:type="paragraph" w:styleId="BlockText">
    <w:name w:val="Block Text"/>
    <w:basedOn w:val="Normal"/>
    <w:semiHidden/>
    <w:rsid w:val="00414CB3"/>
    <w:rPr>
      <w:rFonts w:eastAsiaTheme="minorEastAsia"/>
      <w:iCs/>
    </w:rPr>
  </w:style>
  <w:style w:type="paragraph" w:styleId="Header">
    <w:name w:val="header"/>
    <w:aliases w:val="Page header"/>
    <w:basedOn w:val="Normal"/>
    <w:next w:val="Normal"/>
    <w:link w:val="HeaderChar"/>
    <w:uiPriority w:val="8"/>
    <w:rsid w:val="00FC16A5"/>
    <w:pPr>
      <w:tabs>
        <w:tab w:val="right" w:pos="10318"/>
      </w:tabs>
      <w:spacing w:after="240"/>
      <w:jc w:val="right"/>
    </w:pPr>
  </w:style>
  <w:style w:type="character" w:customStyle="1" w:styleId="HeaderChar">
    <w:name w:val="Header Char"/>
    <w:aliases w:val="Page header Char"/>
    <w:basedOn w:val="DefaultParagraphFont"/>
    <w:link w:val="Header"/>
    <w:uiPriority w:val="8"/>
    <w:rsid w:val="00FC16A5"/>
    <w:rPr>
      <w:rFonts w:ascii="Lato" w:hAnsi="Lato"/>
    </w:rPr>
  </w:style>
  <w:style w:type="paragraph" w:styleId="Footer">
    <w:name w:val="footer"/>
    <w:basedOn w:val="Normal"/>
    <w:link w:val="FooterChar"/>
    <w:uiPriority w:val="99"/>
    <w:unhideWhenUsed/>
    <w:rsid w:val="004E7885"/>
    <w:pPr>
      <w:tabs>
        <w:tab w:val="center" w:pos="4513"/>
        <w:tab w:val="right" w:pos="9026"/>
      </w:tabs>
      <w:spacing w:after="0"/>
    </w:pPr>
  </w:style>
  <w:style w:type="character" w:customStyle="1" w:styleId="FooterChar">
    <w:name w:val="Footer Char"/>
    <w:basedOn w:val="DefaultParagraphFont"/>
    <w:link w:val="Footer"/>
    <w:uiPriority w:val="99"/>
    <w:rsid w:val="004E7885"/>
    <w:rPr>
      <w:rFonts w:ascii="Lato" w:hAnsi="Lato"/>
    </w:rPr>
  </w:style>
  <w:style w:type="character" w:styleId="Strong">
    <w:name w:val="Strong"/>
    <w:basedOn w:val="DefaultParagraphFont"/>
    <w:uiPriority w:val="22"/>
    <w:qFormat/>
    <w:rsid w:val="00AC6411"/>
    <w:rPr>
      <w:b/>
      <w:bCs/>
    </w:rPr>
  </w:style>
  <w:style w:type="character" w:customStyle="1" w:styleId="Heading4Char">
    <w:name w:val="Heading 4 Char"/>
    <w:basedOn w:val="DefaultParagraphFont"/>
    <w:link w:val="Heading4"/>
    <w:uiPriority w:val="1"/>
    <w:rsid w:val="00315377"/>
    <w:rPr>
      <w:rFonts w:asciiTheme="majorHAnsi" w:eastAsiaTheme="majorEastAsia" w:hAnsiTheme="majorHAnsi" w:cstheme="majorBidi"/>
      <w:bCs/>
      <w:iCs/>
      <w:color w:val="44546A" w:themeColor="text2"/>
      <w:sz w:val="24"/>
    </w:rPr>
  </w:style>
  <w:style w:type="paragraph" w:styleId="NormalWeb">
    <w:name w:val="Normal (Web)"/>
    <w:basedOn w:val="Normal"/>
    <w:uiPriority w:val="99"/>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qFormat/>
    <w:rsid w:val="003B6A61"/>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qFormat/>
    <w:rsid w:val="00414CB3"/>
  </w:style>
  <w:style w:type="character" w:customStyle="1" w:styleId="BodyTextChar">
    <w:name w:val="Body Text Char"/>
    <w:basedOn w:val="DefaultParagraphFont"/>
    <w:link w:val="BodyText"/>
    <w:rsid w:val="00315377"/>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082E45"/>
    <w:rPr>
      <w:rFonts w:asciiTheme="majorHAnsi" w:hAnsiTheme="majorHAnsi"/>
      <w:color w:val="007E91" w:themeColor="text1"/>
      <w:lang w:eastAsia="en-AU"/>
    </w:rPr>
  </w:style>
  <w:style w:type="character" w:customStyle="1" w:styleId="Heading6Char">
    <w:name w:val="Heading 6 Char"/>
    <w:basedOn w:val="DefaultParagraphFont"/>
    <w:link w:val="Heading6"/>
    <w:uiPriority w:val="2"/>
    <w:semiHidden/>
    <w:rsid w:val="00082E45"/>
    <w:rPr>
      <w:rFonts w:asciiTheme="majorHAnsi" w:hAnsiTheme="majorHAnsi"/>
      <w:color w:val="44546A" w:themeColor="text2"/>
      <w:lang w:eastAsia="en-AU"/>
    </w:rPr>
  </w:style>
  <w:style w:type="character" w:customStyle="1" w:styleId="Heading7Char">
    <w:name w:val="Heading 7 Char"/>
    <w:basedOn w:val="DefaultParagraphFont"/>
    <w:link w:val="Heading7"/>
    <w:uiPriority w:val="2"/>
    <w:semiHidden/>
    <w:rsid w:val="00082E45"/>
    <w:rPr>
      <w:rFonts w:asciiTheme="majorHAnsi" w:hAnsiTheme="majorHAnsi"/>
      <w:color w:val="007E91" w:themeColor="text1"/>
      <w:lang w:eastAsia="en-AU"/>
    </w:rPr>
  </w:style>
  <w:style w:type="character" w:customStyle="1" w:styleId="Heading8Char">
    <w:name w:val="Heading 8 Char"/>
    <w:basedOn w:val="DefaultParagraphFont"/>
    <w:link w:val="Heading8"/>
    <w:uiPriority w:val="2"/>
    <w:semiHidden/>
    <w:rsid w:val="00962D5E"/>
    <w:rPr>
      <w:rFonts w:asciiTheme="majorHAnsi" w:hAnsiTheme="majorHAnsi"/>
      <w:color w:val="44546A" w:themeColor="text2"/>
      <w:lang w:eastAsia="en-AU"/>
    </w:rPr>
  </w:style>
  <w:style w:type="character" w:customStyle="1" w:styleId="Heading9Char">
    <w:name w:val="Heading 9 Char"/>
    <w:basedOn w:val="DefaultParagraphFont"/>
    <w:link w:val="Heading9"/>
    <w:uiPriority w:val="2"/>
    <w:semiHidden/>
    <w:rsid w:val="00962D5E"/>
    <w:rPr>
      <w:rFonts w:asciiTheme="majorHAnsi" w:hAnsiTheme="majorHAnsi"/>
      <w:color w:val="007E91" w:themeColor="text1"/>
      <w:lang w:eastAsia="en-AU"/>
    </w:rPr>
  </w:style>
  <w:style w:type="numbering" w:customStyle="1" w:styleId="Numberlist">
    <w:name w:val="Number list"/>
    <w:uiPriority w:val="99"/>
    <w:rsid w:val="007C6D9F"/>
    <w:pPr>
      <w:numPr>
        <w:numId w:val="2"/>
      </w:numPr>
    </w:pPr>
  </w:style>
  <w:style w:type="paragraph" w:styleId="List">
    <w:name w:val="List"/>
    <w:aliases w:val="Number List 1"/>
    <w:basedOn w:val="Normal"/>
    <w:uiPriority w:val="3"/>
    <w:qFormat/>
    <w:rsid w:val="00962D5E"/>
    <w:pPr>
      <w:numPr>
        <w:numId w:val="11"/>
      </w:numPr>
    </w:pPr>
  </w:style>
  <w:style w:type="paragraph" w:styleId="ListContinue">
    <w:name w:val="List Continue"/>
    <w:basedOn w:val="Normal"/>
    <w:uiPriority w:val="4"/>
    <w:semiHidden/>
    <w:rsid w:val="00962D5E"/>
    <w:pPr>
      <w:ind w:left="357"/>
      <w:contextualSpacing/>
    </w:pPr>
  </w:style>
  <w:style w:type="paragraph" w:styleId="BodyText2">
    <w:name w:val="Body Text 2"/>
    <w:basedOn w:val="Normal"/>
    <w:link w:val="BodyText2Char"/>
    <w:uiPriority w:val="99"/>
    <w:semiHidden/>
    <w:rsid w:val="00962D5E"/>
    <w:pPr>
      <w:spacing w:line="480" w:lineRule="auto"/>
    </w:pPr>
  </w:style>
  <w:style w:type="character" w:customStyle="1" w:styleId="BodyText2Char">
    <w:name w:val="Body Text 2 Char"/>
    <w:basedOn w:val="DefaultParagraphFont"/>
    <w:link w:val="BodyText2"/>
    <w:uiPriority w:val="99"/>
    <w:semiHidden/>
    <w:rsid w:val="00315377"/>
  </w:style>
  <w:style w:type="paragraph" w:styleId="ListNumber">
    <w:name w:val="List Number"/>
    <w:basedOn w:val="Normal"/>
    <w:uiPriority w:val="99"/>
    <w:semiHidden/>
    <w:rsid w:val="00DF73AC"/>
    <w:pPr>
      <w:numPr>
        <w:numId w:val="10"/>
      </w:numPr>
      <w:contextualSpacing/>
    </w:pPr>
  </w:style>
  <w:style w:type="paragraph" w:styleId="ListBullet">
    <w:name w:val="List Bullet"/>
    <w:aliases w:val="Bullet list level 1"/>
    <w:basedOn w:val="Normal"/>
    <w:uiPriority w:val="2"/>
    <w:qFormat/>
    <w:rsid w:val="00962D5E"/>
    <w:pPr>
      <w:numPr>
        <w:numId w:val="8"/>
      </w:numPr>
    </w:pPr>
  </w:style>
  <w:style w:type="paragraph" w:styleId="ListBullet2">
    <w:name w:val="List Bullet 2"/>
    <w:aliases w:val="Bullet list level 2"/>
    <w:basedOn w:val="Normal"/>
    <w:uiPriority w:val="2"/>
    <w:qFormat/>
    <w:rsid w:val="00AC6411"/>
    <w:pPr>
      <w:numPr>
        <w:ilvl w:val="1"/>
        <w:numId w:val="8"/>
      </w:numPr>
    </w:pPr>
  </w:style>
  <w:style w:type="paragraph" w:styleId="ListBullet3">
    <w:name w:val="List Bullet 3"/>
    <w:aliases w:val="Bullet list level 3"/>
    <w:basedOn w:val="ListBullet4"/>
    <w:uiPriority w:val="4"/>
    <w:semiHidden/>
    <w:rsid w:val="00AC6411"/>
  </w:style>
  <w:style w:type="paragraph" w:styleId="ListBullet4">
    <w:name w:val="List Bullet 4"/>
    <w:aliases w:val="Bullet list level 4"/>
    <w:basedOn w:val="Normal"/>
    <w:uiPriority w:val="4"/>
    <w:semiHidden/>
    <w:rsid w:val="00AC6411"/>
    <w:pPr>
      <w:numPr>
        <w:ilvl w:val="3"/>
        <w:numId w:val="8"/>
      </w:numPr>
    </w:pPr>
  </w:style>
  <w:style w:type="paragraph" w:styleId="ListBullet5">
    <w:name w:val="List Bullet 5"/>
    <w:aliases w:val="Bullet list level 5"/>
    <w:basedOn w:val="Normal"/>
    <w:uiPriority w:val="4"/>
    <w:semiHidden/>
    <w:rsid w:val="00962D5E"/>
    <w:pPr>
      <w:numPr>
        <w:ilvl w:val="4"/>
        <w:numId w:val="8"/>
      </w:numPr>
      <w:ind w:left="1786"/>
    </w:pPr>
  </w:style>
  <w:style w:type="character" w:styleId="Hyperlink">
    <w:name w:val="Hyperlink"/>
    <w:basedOn w:val="DefaultParagraphFont"/>
    <w:uiPriority w:val="99"/>
    <w:rsid w:val="00DF73AC"/>
    <w:rPr>
      <w:color w:val="007E91" w:themeColor="accent1"/>
      <w:u w:val="single"/>
    </w:rPr>
  </w:style>
  <w:style w:type="paragraph" w:styleId="TOCHeading">
    <w:name w:val="TOC Heading"/>
    <w:basedOn w:val="Heading1"/>
    <w:next w:val="Normal"/>
    <w:uiPriority w:val="39"/>
    <w:semiHidden/>
    <w:qFormat/>
    <w:rsid w:val="00082E45"/>
    <w:pPr>
      <w:numPr>
        <w:numId w:val="0"/>
      </w:numPr>
      <w:spacing w:before="480" w:after="0"/>
      <w:outlineLvl w:val="9"/>
    </w:pPr>
    <w:rPr>
      <w:color w:val="007E91" w:themeColor="accent1"/>
      <w:kern w:val="0"/>
      <w:szCs w:val="28"/>
    </w:rPr>
  </w:style>
  <w:style w:type="paragraph" w:styleId="TOC1">
    <w:name w:val="toc 1"/>
    <w:basedOn w:val="Normal"/>
    <w:next w:val="Normal"/>
    <w:autoRedefine/>
    <w:uiPriority w:val="39"/>
    <w:rsid w:val="002F3CF1"/>
    <w:pPr>
      <w:tabs>
        <w:tab w:val="right" w:leader="dot" w:pos="10318"/>
      </w:tabs>
      <w:spacing w:before="120" w:after="100"/>
      <w:ind w:left="425" w:hanging="425"/>
    </w:pPr>
    <w:rPr>
      <w:b/>
    </w:rPr>
  </w:style>
  <w:style w:type="paragraph" w:styleId="TOC2">
    <w:name w:val="toc 2"/>
    <w:basedOn w:val="Normal"/>
    <w:next w:val="Normal"/>
    <w:autoRedefine/>
    <w:uiPriority w:val="39"/>
    <w:rsid w:val="002F3CF1"/>
    <w:pPr>
      <w:tabs>
        <w:tab w:val="left" w:pos="880"/>
        <w:tab w:val="right" w:leader="dot" w:pos="10318"/>
      </w:tabs>
      <w:spacing w:after="100"/>
      <w:ind w:left="220"/>
    </w:pPr>
  </w:style>
  <w:style w:type="paragraph" w:styleId="TOC3">
    <w:name w:val="toc 3"/>
    <w:basedOn w:val="Normal"/>
    <w:next w:val="Normal"/>
    <w:autoRedefine/>
    <w:uiPriority w:val="39"/>
    <w:rsid w:val="007859CD"/>
    <w:pPr>
      <w:spacing w:after="100"/>
      <w:ind w:left="440"/>
    </w:pPr>
  </w:style>
  <w:style w:type="paragraph" w:customStyle="1" w:styleId="Tablebulletlistlevel1">
    <w:name w:val="Table bullet list level 1"/>
    <w:basedOn w:val="Normal"/>
    <w:uiPriority w:val="6"/>
    <w:rsid w:val="00F14273"/>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basedOn w:val="Normal"/>
    <w:uiPriority w:val="7"/>
    <w:rsid w:val="00F14273"/>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1B5CA" w:themeColor="accent4" w:themeTint="66"/>
        <w:left w:val="single" w:sz="4" w:space="0" w:color="D1B5CA" w:themeColor="accent4" w:themeTint="66"/>
        <w:bottom w:val="single" w:sz="4" w:space="0" w:color="D1B5CA" w:themeColor="accent4" w:themeTint="66"/>
        <w:right w:val="single" w:sz="4" w:space="0" w:color="D1B5CA" w:themeColor="accent4" w:themeTint="66"/>
        <w:insideH w:val="single" w:sz="4" w:space="0" w:color="D1B5CA" w:themeColor="accent4" w:themeTint="66"/>
        <w:insideV w:val="single" w:sz="4" w:space="0" w:color="D1B5CA" w:themeColor="accent4" w:themeTint="66"/>
      </w:tblBorders>
    </w:tblPr>
    <w:tblStylePr w:type="firstRow">
      <w:rPr>
        <w:b/>
        <w:bCs/>
      </w:rPr>
      <w:tblPr/>
      <w:tcPr>
        <w:tcBorders>
          <w:bottom w:val="single" w:sz="12" w:space="0" w:color="BB91B0" w:themeColor="accent4" w:themeTint="99"/>
        </w:tcBorders>
      </w:tcPr>
    </w:tblStylePr>
    <w:tblStylePr w:type="lastRow">
      <w:rPr>
        <w:b/>
        <w:bCs/>
      </w:rPr>
      <w:tblPr/>
      <w:tcPr>
        <w:tcBorders>
          <w:top w:val="double" w:sz="2" w:space="0" w:color="BB91B0" w:themeColor="accent4" w:themeTint="99"/>
        </w:tcBorders>
      </w:tcPr>
    </w:tblStylePr>
    <w:tblStylePr w:type="firstCol">
      <w:rPr>
        <w:b/>
        <w:bCs/>
      </w:rPr>
    </w:tblStylePr>
    <w:tblStylePr w:type="lastCol">
      <w:rPr>
        <w:b/>
        <w:bCs/>
      </w:rPr>
    </w:tblStylePr>
  </w:style>
  <w:style w:type="table" w:customStyle="1" w:styleId="NTGtable2">
    <w:name w:val="NTG table 2"/>
    <w:basedOn w:val="TableGrid"/>
    <w:uiPriority w:val="99"/>
    <w:rsid w:val="000E38FB"/>
    <w:pPr>
      <w:spacing w:before="40"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TOC4">
    <w:name w:val="toc 4"/>
    <w:basedOn w:val="Normal"/>
    <w:next w:val="Normal"/>
    <w:autoRedefine/>
    <w:uiPriority w:val="39"/>
    <w:rsid w:val="00221220"/>
    <w:pPr>
      <w:spacing w:after="100"/>
      <w:ind w:left="660"/>
    </w:pPr>
  </w:style>
  <w:style w:type="numbering" w:customStyle="1" w:styleId="Numberedlist">
    <w:name w:val="Numbered list"/>
    <w:basedOn w:val="NoList"/>
    <w:rsid w:val="00422874"/>
    <w:pPr>
      <w:numPr>
        <w:numId w:val="9"/>
      </w:numPr>
    </w:pPr>
  </w:style>
  <w:style w:type="paragraph" w:styleId="Caption">
    <w:name w:val="caption"/>
    <w:basedOn w:val="Normal"/>
    <w:next w:val="Normal"/>
    <w:uiPriority w:val="8"/>
    <w:rsid w:val="00AD7557"/>
    <w:rPr>
      <w:iCs/>
      <w:sz w:val="20"/>
      <w:szCs w:val="18"/>
    </w:rPr>
  </w:style>
  <w:style w:type="character" w:styleId="PageNumber">
    <w:name w:val="page number"/>
    <w:aliases w:val="Page number"/>
    <w:basedOn w:val="DefaultParagraphFont"/>
    <w:uiPriority w:val="8"/>
    <w:rsid w:val="00B43C75"/>
    <w:rPr>
      <w:rFonts w:ascii="Lato" w:hAnsi="Lato"/>
      <w:sz w:val="19"/>
    </w:rPr>
  </w:style>
  <w:style w:type="paragraph" w:customStyle="1" w:styleId="Hidden">
    <w:name w:val="Hidden"/>
    <w:basedOn w:val="Normal"/>
    <w:uiPriority w:val="13"/>
    <w:semiHidden/>
    <w:rsid w:val="008A51A3"/>
    <w:pPr>
      <w:spacing w:after="0"/>
      <w:ind w:firstLine="284"/>
    </w:pPr>
    <w:rPr>
      <w:sz w:val="2"/>
      <w:szCs w:val="2"/>
    </w:rPr>
  </w:style>
  <w:style w:type="table" w:customStyle="1" w:styleId="NTGtable1">
    <w:name w:val="NTG table 1"/>
    <w:basedOn w:val="TableNormal"/>
    <w:uiPriority w:val="99"/>
    <w:rsid w:val="00082E45"/>
    <w:pPr>
      <w:spacing w:before="40" w:after="40"/>
    </w:pPr>
    <w:tblPr>
      <w:tblStyleRowBandSize w:val="1"/>
      <w:tblStyleColBandSize w:val="1"/>
      <w:tblBorders>
        <w:top w:val="single" w:sz="4" w:space="0" w:color="007E91" w:themeColor="text1"/>
        <w:left w:val="single" w:sz="4" w:space="0" w:color="007E91" w:themeColor="text1"/>
        <w:bottom w:val="single" w:sz="4" w:space="0" w:color="007E91" w:themeColor="text1"/>
        <w:right w:val="single" w:sz="4" w:space="0" w:color="007E91" w:themeColor="text1"/>
        <w:insideV w:val="single" w:sz="4" w:space="0" w:color="007E91" w:themeColor="text1"/>
      </w:tblBorders>
    </w:tblPr>
    <w:tcPr>
      <w:vAlign w:val="center"/>
    </w:tcPr>
    <w:tblStylePr w:type="firstRow">
      <w:rPr>
        <w:b/>
        <w:color w:val="FFFFFF" w:themeColor="background1"/>
        <w:sz w:val="22"/>
      </w:rPr>
      <w:tblPr/>
      <w:tcPr>
        <w:shd w:val="clear" w:color="auto" w:fill="007E91" w:themeFill="text1"/>
      </w:tcPr>
    </w:tblStylePr>
    <w:tblStylePr w:type="lastRow">
      <w:rPr>
        <w:b/>
        <w:sz w:val="22"/>
      </w:rPr>
      <w:tblPr/>
      <w:tcPr>
        <w:tcBorders>
          <w:top w:val="single" w:sz="4" w:space="0" w:color="007E91" w:themeColor="text1"/>
          <w:left w:val="single" w:sz="4" w:space="0" w:color="007E91" w:themeColor="text1"/>
          <w:bottom w:val="single" w:sz="4" w:space="0" w:color="007E91" w:themeColor="text1"/>
          <w:right w:val="single" w:sz="4" w:space="0" w:color="007E91" w:themeColor="text1"/>
        </w:tcBorders>
      </w:tcPr>
    </w:tblStylePr>
    <w:tblStylePr w:type="firstCol">
      <w:rPr>
        <w:b w:val="0"/>
        <w:color w:val="FFFFFF" w:themeColor="background1"/>
        <w:sz w:val="22"/>
      </w:rPr>
      <w:tblPr/>
      <w:tcPr>
        <w:shd w:val="clear" w:color="auto" w:fill="007E91" w:themeFill="accent1"/>
      </w:tcPr>
    </w:tblStylePr>
    <w:tblStylePr w:type="lastCol">
      <w:rPr>
        <w:color w:val="FFFFFF" w:themeColor="background1"/>
        <w:sz w:val="22"/>
      </w:rPr>
      <w:tblPr/>
      <w:tcPr>
        <w:shd w:val="clear" w:color="auto" w:fill="007E91" w:themeFill="accent1"/>
      </w:tcPr>
    </w:tblStylePr>
    <w:tblStylePr w:type="band1Vert">
      <w:rPr>
        <w:rFonts w:ascii="Lato" w:hAnsi="Lato"/>
        <w:sz w:val="22"/>
      </w:rPr>
    </w:tblStylePr>
    <w:tblStylePr w:type="band2Vert">
      <w:rPr>
        <w:rFonts w:ascii="Lato" w:hAnsi="Lato"/>
        <w:sz w:val="22"/>
      </w:rPr>
    </w:tblStylePr>
    <w:tblStylePr w:type="band1Horz">
      <w:rPr>
        <w:rFonts w:ascii="Lato" w:hAnsi="Lato"/>
        <w:sz w:val="22"/>
      </w:rPr>
    </w:tblStylePr>
    <w:tblStylePr w:type="band2Horz">
      <w:rPr>
        <w:rFonts w:ascii="Lato" w:hAnsi="Lato"/>
        <w:sz w:val="22"/>
      </w:rPr>
      <w:tblPr/>
      <w:tcPr>
        <w:shd w:val="clear" w:color="auto" w:fill="D9D9D9" w:themeFill="background1" w:themeFillShade="D9"/>
      </w:tcPr>
    </w:tblStylePr>
    <w:tblStylePr w:type="neCell">
      <w:rPr>
        <w:sz w:val="22"/>
      </w:rPr>
    </w:tblStylePr>
    <w:tblStylePr w:type="nwCell">
      <w:rPr>
        <w:sz w:val="22"/>
      </w:rPr>
    </w:tblStylePr>
    <w:tblStylePr w:type="seCell">
      <w:rPr>
        <w:sz w:val="22"/>
      </w:rPr>
    </w:tblStylePr>
    <w:tblStylePr w:type="swCell">
      <w:rPr>
        <w:sz w:val="22"/>
      </w:rPr>
    </w:tblStylePr>
  </w:style>
  <w:style w:type="paragraph" w:styleId="FootnoteText">
    <w:name w:val="footnote text"/>
    <w:basedOn w:val="Normal"/>
    <w:link w:val="FootnoteTextChar"/>
    <w:uiPriority w:val="99"/>
    <w:unhideWhenUsed/>
    <w:rsid w:val="000B6E48"/>
    <w:pPr>
      <w:spacing w:after="0"/>
    </w:pPr>
    <w:rPr>
      <w:sz w:val="20"/>
      <w:szCs w:val="20"/>
    </w:rPr>
  </w:style>
  <w:style w:type="character" w:customStyle="1" w:styleId="FootnoteTextChar">
    <w:name w:val="Footnote Text Char"/>
    <w:basedOn w:val="DefaultParagraphFont"/>
    <w:link w:val="FootnoteText"/>
    <w:uiPriority w:val="99"/>
    <w:rsid w:val="000B6E48"/>
    <w:rPr>
      <w:rFonts w:ascii="Lato" w:hAnsi="Lato"/>
      <w:sz w:val="20"/>
      <w:szCs w:val="20"/>
    </w:rPr>
  </w:style>
  <w:style w:type="character" w:styleId="FootnoteReference">
    <w:name w:val="footnote reference"/>
    <w:basedOn w:val="DefaultParagraphFont"/>
    <w:uiPriority w:val="99"/>
    <w:unhideWhenUsed/>
    <w:rsid w:val="000B6E48"/>
    <w:rPr>
      <w:vertAlign w:val="superscript"/>
    </w:rPr>
  </w:style>
  <w:style w:type="paragraph" w:styleId="EndnoteText">
    <w:name w:val="endnote text"/>
    <w:basedOn w:val="Normal"/>
    <w:link w:val="EndnoteTextChar"/>
    <w:uiPriority w:val="99"/>
    <w:semiHidden/>
    <w:rsid w:val="00797696"/>
    <w:pPr>
      <w:spacing w:after="0"/>
    </w:pPr>
    <w:rPr>
      <w:sz w:val="20"/>
      <w:szCs w:val="20"/>
    </w:rPr>
  </w:style>
  <w:style w:type="character" w:customStyle="1" w:styleId="EndnoteTextChar">
    <w:name w:val="Endnote Text Char"/>
    <w:basedOn w:val="DefaultParagraphFont"/>
    <w:link w:val="EndnoteText"/>
    <w:uiPriority w:val="99"/>
    <w:semiHidden/>
    <w:rsid w:val="00315377"/>
    <w:rPr>
      <w:sz w:val="20"/>
      <w:szCs w:val="20"/>
    </w:rPr>
  </w:style>
  <w:style w:type="character" w:styleId="EndnoteReference">
    <w:name w:val="endnote reference"/>
    <w:basedOn w:val="DefaultParagraphFont"/>
    <w:uiPriority w:val="99"/>
    <w:semiHidden/>
    <w:rsid w:val="00797696"/>
    <w:rPr>
      <w:vertAlign w:val="superscript"/>
    </w:rPr>
  </w:style>
  <w:style w:type="paragraph" w:styleId="BalloonText">
    <w:name w:val="Balloon Text"/>
    <w:basedOn w:val="Normal"/>
    <w:link w:val="BalloonTextChar"/>
    <w:uiPriority w:val="99"/>
    <w:semiHidden/>
    <w:rsid w:val="00AC64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5377"/>
    <w:rPr>
      <w:rFonts w:ascii="Segoe UI" w:hAnsi="Segoe UI" w:cs="Segoe UI"/>
      <w:sz w:val="18"/>
      <w:szCs w:val="18"/>
    </w:rPr>
  </w:style>
  <w:style w:type="paragraph" w:styleId="Bibliography">
    <w:name w:val="Bibliography"/>
    <w:basedOn w:val="Normal"/>
    <w:next w:val="Normal"/>
    <w:uiPriority w:val="37"/>
    <w:semiHidden/>
    <w:rsid w:val="00AC6411"/>
  </w:style>
  <w:style w:type="paragraph" w:styleId="List3">
    <w:name w:val="List 3"/>
    <w:aliases w:val="Number List 3"/>
    <w:basedOn w:val="Normal"/>
    <w:uiPriority w:val="99"/>
    <w:unhideWhenUsed/>
    <w:rsid w:val="00962D5E"/>
    <w:pPr>
      <w:numPr>
        <w:ilvl w:val="2"/>
        <w:numId w:val="11"/>
      </w:numPr>
    </w:pPr>
  </w:style>
  <w:style w:type="paragraph" w:styleId="List4">
    <w:name w:val="List 4"/>
    <w:aliases w:val="Number List 4"/>
    <w:basedOn w:val="Normal"/>
    <w:uiPriority w:val="99"/>
    <w:unhideWhenUsed/>
    <w:rsid w:val="00962D5E"/>
    <w:pPr>
      <w:numPr>
        <w:ilvl w:val="3"/>
        <w:numId w:val="11"/>
      </w:numPr>
      <w:ind w:left="1429"/>
    </w:pPr>
  </w:style>
  <w:style w:type="paragraph" w:styleId="List5">
    <w:name w:val="List 5"/>
    <w:aliases w:val="Number List 5"/>
    <w:basedOn w:val="Normal"/>
    <w:uiPriority w:val="99"/>
    <w:unhideWhenUsed/>
    <w:rsid w:val="00962D5E"/>
    <w:pPr>
      <w:numPr>
        <w:ilvl w:val="4"/>
        <w:numId w:val="11"/>
      </w:numPr>
      <w:ind w:left="1786"/>
    </w:pPr>
  </w:style>
  <w:style w:type="paragraph" w:styleId="ListContinue2">
    <w:name w:val="List Continue 2"/>
    <w:basedOn w:val="Normal"/>
    <w:uiPriority w:val="4"/>
    <w:semiHidden/>
    <w:rsid w:val="00962D5E"/>
    <w:pPr>
      <w:ind w:left="714"/>
      <w:contextualSpacing/>
    </w:pPr>
  </w:style>
  <w:style w:type="paragraph" w:styleId="BodyTextFirstIndent">
    <w:name w:val="Body Text First Indent"/>
    <w:basedOn w:val="BodyText"/>
    <w:link w:val="BodyTextFirstIndentChar"/>
    <w:uiPriority w:val="99"/>
    <w:semiHidden/>
    <w:rsid w:val="00AC6411"/>
    <w:pPr>
      <w:spacing w:after="200"/>
      <w:ind w:firstLine="360"/>
    </w:pPr>
  </w:style>
  <w:style w:type="character" w:customStyle="1" w:styleId="BodyTextFirstIndentChar">
    <w:name w:val="Body Text First Indent Char"/>
    <w:basedOn w:val="BodyTextChar"/>
    <w:link w:val="BodyTextFirstIndent"/>
    <w:uiPriority w:val="99"/>
    <w:semiHidden/>
    <w:rsid w:val="00315377"/>
  </w:style>
  <w:style w:type="paragraph" w:styleId="BodyTextIndent">
    <w:name w:val="Body Text Indent"/>
    <w:basedOn w:val="Normal"/>
    <w:link w:val="BodyTextIndentChar"/>
    <w:uiPriority w:val="99"/>
    <w:semiHidden/>
    <w:rsid w:val="00AC6411"/>
    <w:pPr>
      <w:ind w:left="283"/>
    </w:pPr>
  </w:style>
  <w:style w:type="character" w:customStyle="1" w:styleId="BodyTextIndentChar">
    <w:name w:val="Body Text Indent Char"/>
    <w:basedOn w:val="DefaultParagraphFont"/>
    <w:link w:val="BodyTextIndent"/>
    <w:uiPriority w:val="99"/>
    <w:semiHidden/>
    <w:rsid w:val="00315377"/>
  </w:style>
  <w:style w:type="paragraph" w:styleId="BodyTextFirstIndent2">
    <w:name w:val="Body Text First Indent 2"/>
    <w:basedOn w:val="BodyTextIndent"/>
    <w:link w:val="BodyTextFirstIndent2Char"/>
    <w:uiPriority w:val="99"/>
    <w:semiHidden/>
    <w:rsid w:val="00AC6411"/>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315377"/>
  </w:style>
  <w:style w:type="paragraph" w:styleId="BodyTextIndent2">
    <w:name w:val="Body Text Indent 2"/>
    <w:basedOn w:val="Normal"/>
    <w:link w:val="BodyTextIndent2Char"/>
    <w:uiPriority w:val="99"/>
    <w:semiHidden/>
    <w:rsid w:val="00AC6411"/>
    <w:pPr>
      <w:spacing w:line="480" w:lineRule="auto"/>
      <w:ind w:left="283"/>
    </w:pPr>
  </w:style>
  <w:style w:type="character" w:customStyle="1" w:styleId="BodyTextIndent2Char">
    <w:name w:val="Body Text Indent 2 Char"/>
    <w:basedOn w:val="DefaultParagraphFont"/>
    <w:link w:val="BodyTextIndent2"/>
    <w:uiPriority w:val="99"/>
    <w:semiHidden/>
    <w:rsid w:val="00315377"/>
  </w:style>
  <w:style w:type="paragraph" w:styleId="BodyTextIndent3">
    <w:name w:val="Body Text Indent 3"/>
    <w:basedOn w:val="Normal"/>
    <w:link w:val="BodyTextIndent3Char"/>
    <w:uiPriority w:val="99"/>
    <w:semiHidden/>
    <w:rsid w:val="00AC6411"/>
    <w:pPr>
      <w:ind w:left="283"/>
    </w:pPr>
    <w:rPr>
      <w:sz w:val="16"/>
      <w:szCs w:val="16"/>
    </w:rPr>
  </w:style>
  <w:style w:type="character" w:customStyle="1" w:styleId="BodyTextIndent3Char">
    <w:name w:val="Body Text Indent 3 Char"/>
    <w:basedOn w:val="DefaultParagraphFont"/>
    <w:link w:val="BodyTextIndent3"/>
    <w:uiPriority w:val="99"/>
    <w:semiHidden/>
    <w:rsid w:val="00315377"/>
    <w:rPr>
      <w:sz w:val="16"/>
      <w:szCs w:val="16"/>
    </w:rPr>
  </w:style>
  <w:style w:type="character" w:styleId="BookTitle">
    <w:name w:val="Book Title"/>
    <w:basedOn w:val="DefaultParagraphFont"/>
    <w:uiPriority w:val="33"/>
    <w:semiHidden/>
    <w:rsid w:val="00AC6411"/>
    <w:rPr>
      <w:b/>
      <w:bCs/>
      <w:i/>
      <w:iCs/>
      <w:spacing w:val="5"/>
    </w:rPr>
  </w:style>
  <w:style w:type="paragraph" w:styleId="Closing">
    <w:name w:val="Closing"/>
    <w:basedOn w:val="Normal"/>
    <w:link w:val="ClosingChar"/>
    <w:uiPriority w:val="99"/>
    <w:semiHidden/>
    <w:rsid w:val="00AC6411"/>
    <w:pPr>
      <w:spacing w:after="0"/>
      <w:ind w:left="4252"/>
    </w:pPr>
  </w:style>
  <w:style w:type="character" w:customStyle="1" w:styleId="ClosingChar">
    <w:name w:val="Closing Char"/>
    <w:basedOn w:val="DefaultParagraphFont"/>
    <w:link w:val="Closing"/>
    <w:uiPriority w:val="99"/>
    <w:semiHidden/>
    <w:rsid w:val="00315377"/>
  </w:style>
  <w:style w:type="character" w:styleId="CommentReference">
    <w:name w:val="annotation reference"/>
    <w:basedOn w:val="DefaultParagraphFont"/>
    <w:uiPriority w:val="99"/>
    <w:unhideWhenUsed/>
    <w:rsid w:val="00AC6411"/>
    <w:rPr>
      <w:sz w:val="16"/>
      <w:szCs w:val="16"/>
    </w:rPr>
  </w:style>
  <w:style w:type="paragraph" w:styleId="CommentText">
    <w:name w:val="annotation text"/>
    <w:basedOn w:val="Normal"/>
    <w:link w:val="CommentTextChar"/>
    <w:uiPriority w:val="99"/>
    <w:unhideWhenUsed/>
    <w:rsid w:val="00AC6411"/>
    <w:rPr>
      <w:sz w:val="20"/>
      <w:szCs w:val="20"/>
    </w:rPr>
  </w:style>
  <w:style w:type="character" w:customStyle="1" w:styleId="CommentTextChar">
    <w:name w:val="Comment Text Char"/>
    <w:basedOn w:val="DefaultParagraphFont"/>
    <w:link w:val="CommentText"/>
    <w:uiPriority w:val="99"/>
    <w:rsid w:val="00AC6411"/>
    <w:rPr>
      <w:rFonts w:ascii="Lato" w:hAnsi="Lato"/>
      <w:sz w:val="20"/>
      <w:szCs w:val="20"/>
    </w:rPr>
  </w:style>
  <w:style w:type="paragraph" w:styleId="CommentSubject">
    <w:name w:val="annotation subject"/>
    <w:basedOn w:val="CommentText"/>
    <w:next w:val="CommentText"/>
    <w:link w:val="CommentSubjectChar"/>
    <w:uiPriority w:val="99"/>
    <w:unhideWhenUsed/>
    <w:rsid w:val="00AC6411"/>
    <w:rPr>
      <w:b/>
      <w:bCs/>
    </w:rPr>
  </w:style>
  <w:style w:type="character" w:customStyle="1" w:styleId="CommentSubjectChar">
    <w:name w:val="Comment Subject Char"/>
    <w:basedOn w:val="CommentTextChar"/>
    <w:link w:val="CommentSubject"/>
    <w:uiPriority w:val="99"/>
    <w:rsid w:val="00AC6411"/>
    <w:rPr>
      <w:rFonts w:ascii="Lato" w:hAnsi="Lato"/>
      <w:b/>
      <w:bCs/>
      <w:sz w:val="20"/>
      <w:szCs w:val="20"/>
    </w:rPr>
  </w:style>
  <w:style w:type="paragraph" w:styleId="Date">
    <w:name w:val="Date"/>
    <w:aliases w:val="Date and version"/>
    <w:basedOn w:val="Normal"/>
    <w:next w:val="Normal"/>
    <w:link w:val="DateChar"/>
    <w:uiPriority w:val="99"/>
    <w:rsid w:val="00453B69"/>
    <w:pPr>
      <w:jc w:val="right"/>
    </w:pPr>
    <w:rPr>
      <w:color w:val="FFFFFF" w:themeColor="background1"/>
    </w:rPr>
  </w:style>
  <w:style w:type="character" w:customStyle="1" w:styleId="DateChar">
    <w:name w:val="Date Char"/>
    <w:aliases w:val="Date and version Char"/>
    <w:basedOn w:val="DefaultParagraphFont"/>
    <w:link w:val="Date"/>
    <w:uiPriority w:val="99"/>
    <w:rsid w:val="00453B69"/>
    <w:rPr>
      <w:color w:val="FFFFFF" w:themeColor="background1"/>
    </w:rPr>
  </w:style>
  <w:style w:type="paragraph" w:styleId="DocumentMap">
    <w:name w:val="Document Map"/>
    <w:basedOn w:val="Normal"/>
    <w:link w:val="DocumentMapChar"/>
    <w:uiPriority w:val="99"/>
    <w:semiHidden/>
    <w:rsid w:val="00AC6411"/>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15377"/>
    <w:rPr>
      <w:rFonts w:ascii="Segoe UI" w:hAnsi="Segoe UI" w:cs="Segoe UI"/>
      <w:sz w:val="16"/>
      <w:szCs w:val="16"/>
    </w:rPr>
  </w:style>
  <w:style w:type="paragraph" w:styleId="E-mailSignature">
    <w:name w:val="E-mail Signature"/>
    <w:basedOn w:val="Normal"/>
    <w:link w:val="E-mailSignatureChar"/>
    <w:uiPriority w:val="99"/>
    <w:semiHidden/>
    <w:rsid w:val="00AC6411"/>
    <w:pPr>
      <w:spacing w:after="0"/>
    </w:pPr>
  </w:style>
  <w:style w:type="character" w:customStyle="1" w:styleId="E-mailSignatureChar">
    <w:name w:val="E-mail Signature Char"/>
    <w:basedOn w:val="DefaultParagraphFont"/>
    <w:link w:val="E-mailSignature"/>
    <w:uiPriority w:val="99"/>
    <w:semiHidden/>
    <w:rsid w:val="00315377"/>
  </w:style>
  <w:style w:type="character" w:styleId="Emphasis">
    <w:name w:val="Emphasis"/>
    <w:basedOn w:val="DefaultParagraphFont"/>
    <w:uiPriority w:val="20"/>
    <w:semiHidden/>
    <w:rsid w:val="00AC6411"/>
    <w:rPr>
      <w:i/>
      <w:iCs/>
    </w:rPr>
  </w:style>
  <w:style w:type="paragraph" w:styleId="EnvelopeAddress">
    <w:name w:val="envelope address"/>
    <w:basedOn w:val="Normal"/>
    <w:uiPriority w:val="99"/>
    <w:semiHidden/>
    <w:rsid w:val="00AC64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rsid w:val="00AC6411"/>
    <w:pPr>
      <w:spacing w:after="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AC6411"/>
    <w:rPr>
      <w:color w:val="845278" w:themeColor="followedHyperlink"/>
      <w:u w:val="single"/>
    </w:rPr>
  </w:style>
  <w:style w:type="character" w:styleId="HTMLAcronym">
    <w:name w:val="HTML Acronym"/>
    <w:basedOn w:val="DefaultParagraphFont"/>
    <w:uiPriority w:val="99"/>
    <w:semiHidden/>
    <w:rsid w:val="00AC6411"/>
  </w:style>
  <w:style w:type="paragraph" w:styleId="HTMLAddress">
    <w:name w:val="HTML Address"/>
    <w:basedOn w:val="Normal"/>
    <w:link w:val="HTMLAddressChar"/>
    <w:uiPriority w:val="99"/>
    <w:semiHidden/>
    <w:rsid w:val="00AC6411"/>
    <w:pPr>
      <w:spacing w:after="0"/>
    </w:pPr>
    <w:rPr>
      <w:i/>
      <w:iCs/>
    </w:rPr>
  </w:style>
  <w:style w:type="character" w:customStyle="1" w:styleId="HTMLAddressChar">
    <w:name w:val="HTML Address Char"/>
    <w:basedOn w:val="DefaultParagraphFont"/>
    <w:link w:val="HTMLAddress"/>
    <w:uiPriority w:val="99"/>
    <w:semiHidden/>
    <w:rsid w:val="00315377"/>
    <w:rPr>
      <w:i/>
      <w:iCs/>
    </w:rPr>
  </w:style>
  <w:style w:type="character" w:styleId="HTMLCite">
    <w:name w:val="HTML Cite"/>
    <w:basedOn w:val="DefaultParagraphFont"/>
    <w:uiPriority w:val="99"/>
    <w:semiHidden/>
    <w:rsid w:val="00AC6411"/>
    <w:rPr>
      <w:i/>
      <w:iCs/>
    </w:rPr>
  </w:style>
  <w:style w:type="character" w:styleId="HTMLCode">
    <w:name w:val="HTML Code"/>
    <w:basedOn w:val="DefaultParagraphFont"/>
    <w:uiPriority w:val="99"/>
    <w:semiHidden/>
    <w:rsid w:val="00AD4FDE"/>
    <w:rPr>
      <w:rFonts w:ascii="Consolas" w:hAnsi="Consolas"/>
      <w:sz w:val="20"/>
      <w:szCs w:val="20"/>
    </w:rPr>
  </w:style>
  <w:style w:type="character" w:styleId="HTMLDefinition">
    <w:name w:val="HTML Definition"/>
    <w:basedOn w:val="DefaultParagraphFont"/>
    <w:uiPriority w:val="99"/>
    <w:semiHidden/>
    <w:rsid w:val="00AD4FDE"/>
    <w:rPr>
      <w:i/>
      <w:iCs/>
    </w:rPr>
  </w:style>
  <w:style w:type="character" w:styleId="HTMLKeyboard">
    <w:name w:val="HTML Keyboard"/>
    <w:basedOn w:val="DefaultParagraphFont"/>
    <w:uiPriority w:val="99"/>
    <w:semiHidden/>
    <w:rsid w:val="00AD4FDE"/>
    <w:rPr>
      <w:rFonts w:ascii="Consolas" w:hAnsi="Consolas"/>
      <w:sz w:val="20"/>
      <w:szCs w:val="20"/>
    </w:rPr>
  </w:style>
  <w:style w:type="paragraph" w:styleId="HTMLPreformatted">
    <w:name w:val="HTML Preformatted"/>
    <w:basedOn w:val="Normal"/>
    <w:link w:val="HTMLPreformattedChar"/>
    <w:uiPriority w:val="99"/>
    <w:semiHidden/>
    <w:rsid w:val="00AD4FDE"/>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15377"/>
    <w:rPr>
      <w:rFonts w:ascii="Consolas" w:hAnsi="Consolas"/>
      <w:sz w:val="20"/>
      <w:szCs w:val="20"/>
    </w:rPr>
  </w:style>
  <w:style w:type="character" w:styleId="HTMLSample">
    <w:name w:val="HTML Sample"/>
    <w:basedOn w:val="DefaultParagraphFont"/>
    <w:uiPriority w:val="99"/>
    <w:semiHidden/>
    <w:rsid w:val="00AD4FDE"/>
    <w:rPr>
      <w:rFonts w:ascii="Consolas" w:hAnsi="Consolas"/>
      <w:sz w:val="24"/>
      <w:szCs w:val="24"/>
    </w:rPr>
  </w:style>
  <w:style w:type="character" w:styleId="HTMLTypewriter">
    <w:name w:val="HTML Typewriter"/>
    <w:basedOn w:val="DefaultParagraphFont"/>
    <w:uiPriority w:val="99"/>
    <w:semiHidden/>
    <w:rsid w:val="00AD4FDE"/>
    <w:rPr>
      <w:rFonts w:ascii="Consolas" w:hAnsi="Consolas"/>
      <w:sz w:val="20"/>
      <w:szCs w:val="20"/>
    </w:rPr>
  </w:style>
  <w:style w:type="character" w:styleId="HTMLVariable">
    <w:name w:val="HTML Variable"/>
    <w:basedOn w:val="DefaultParagraphFont"/>
    <w:uiPriority w:val="99"/>
    <w:semiHidden/>
    <w:rsid w:val="00AD4FDE"/>
    <w:rPr>
      <w:i/>
      <w:iCs/>
    </w:rPr>
  </w:style>
  <w:style w:type="paragraph" w:styleId="Index1">
    <w:name w:val="index 1"/>
    <w:basedOn w:val="Normal"/>
    <w:next w:val="Normal"/>
    <w:autoRedefine/>
    <w:uiPriority w:val="99"/>
    <w:semiHidden/>
    <w:rsid w:val="00AD4FDE"/>
    <w:pPr>
      <w:spacing w:after="0"/>
      <w:ind w:left="220" w:hanging="220"/>
    </w:pPr>
  </w:style>
  <w:style w:type="paragraph" w:styleId="Index2">
    <w:name w:val="index 2"/>
    <w:basedOn w:val="Normal"/>
    <w:next w:val="Normal"/>
    <w:autoRedefine/>
    <w:uiPriority w:val="99"/>
    <w:semiHidden/>
    <w:rsid w:val="00AD4FDE"/>
    <w:pPr>
      <w:spacing w:after="0"/>
      <w:ind w:left="440" w:hanging="220"/>
    </w:pPr>
  </w:style>
  <w:style w:type="paragraph" w:styleId="Index4">
    <w:name w:val="index 4"/>
    <w:basedOn w:val="Normal"/>
    <w:next w:val="Normal"/>
    <w:autoRedefine/>
    <w:uiPriority w:val="99"/>
    <w:semiHidden/>
    <w:rsid w:val="00AD4FDE"/>
    <w:pPr>
      <w:spacing w:after="0"/>
      <w:ind w:left="880" w:hanging="220"/>
    </w:pPr>
  </w:style>
  <w:style w:type="paragraph" w:styleId="Index3">
    <w:name w:val="index 3"/>
    <w:basedOn w:val="Normal"/>
    <w:next w:val="Normal"/>
    <w:autoRedefine/>
    <w:uiPriority w:val="99"/>
    <w:semiHidden/>
    <w:rsid w:val="00AD4FDE"/>
    <w:pPr>
      <w:spacing w:after="0"/>
      <w:ind w:left="660" w:hanging="220"/>
    </w:pPr>
  </w:style>
  <w:style w:type="paragraph" w:styleId="ListContinue3">
    <w:name w:val="List Continue 3"/>
    <w:basedOn w:val="Normal"/>
    <w:uiPriority w:val="99"/>
    <w:semiHidden/>
    <w:rsid w:val="00962D5E"/>
    <w:pPr>
      <w:ind w:left="1072"/>
      <w:contextualSpacing/>
    </w:pPr>
  </w:style>
  <w:style w:type="paragraph" w:styleId="List2">
    <w:name w:val="List 2"/>
    <w:aliases w:val="Number List 2"/>
    <w:basedOn w:val="Normal"/>
    <w:uiPriority w:val="3"/>
    <w:qFormat/>
    <w:rsid w:val="00962D5E"/>
    <w:pPr>
      <w:numPr>
        <w:ilvl w:val="1"/>
        <w:numId w:val="11"/>
      </w:numPr>
    </w:pPr>
  </w:style>
  <w:style w:type="paragraph" w:styleId="ListContinue4">
    <w:name w:val="List Continue 4"/>
    <w:basedOn w:val="Normal"/>
    <w:uiPriority w:val="99"/>
    <w:semiHidden/>
    <w:rsid w:val="00962D5E"/>
    <w:pPr>
      <w:ind w:left="1429"/>
      <w:contextualSpacing/>
    </w:pPr>
  </w:style>
  <w:style w:type="paragraph" w:styleId="ListContinue5">
    <w:name w:val="List Continue 5"/>
    <w:basedOn w:val="Normal"/>
    <w:uiPriority w:val="99"/>
    <w:semiHidden/>
    <w:rsid w:val="00962D5E"/>
    <w:pPr>
      <w:ind w:left="1786"/>
      <w:contextualSpacing/>
    </w:pPr>
  </w:style>
  <w:style w:type="paragraph" w:styleId="Revision">
    <w:name w:val="Revision"/>
    <w:hidden/>
    <w:uiPriority w:val="99"/>
    <w:semiHidden/>
    <w:rsid w:val="008E324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663">
      <w:bodyDiv w:val="1"/>
      <w:marLeft w:val="0"/>
      <w:marRight w:val="0"/>
      <w:marTop w:val="0"/>
      <w:marBottom w:val="0"/>
      <w:divBdr>
        <w:top w:val="none" w:sz="0" w:space="0" w:color="auto"/>
        <w:left w:val="none" w:sz="0" w:space="0" w:color="auto"/>
        <w:bottom w:val="none" w:sz="0" w:space="0" w:color="auto"/>
        <w:right w:val="none" w:sz="0" w:space="0" w:color="auto"/>
      </w:divBdr>
      <w:divsChild>
        <w:div w:id="2032680114">
          <w:marLeft w:val="0"/>
          <w:marRight w:val="0"/>
          <w:marTop w:val="0"/>
          <w:marBottom w:val="0"/>
          <w:divBdr>
            <w:top w:val="none" w:sz="0" w:space="0" w:color="auto"/>
            <w:left w:val="none" w:sz="0" w:space="0" w:color="auto"/>
            <w:bottom w:val="none" w:sz="0" w:space="0" w:color="auto"/>
            <w:right w:val="none" w:sz="0" w:space="0" w:color="auto"/>
          </w:divBdr>
        </w:div>
      </w:divsChild>
    </w:div>
    <w:div w:id="23603097">
      <w:bodyDiv w:val="1"/>
      <w:marLeft w:val="0"/>
      <w:marRight w:val="0"/>
      <w:marTop w:val="0"/>
      <w:marBottom w:val="0"/>
      <w:divBdr>
        <w:top w:val="none" w:sz="0" w:space="0" w:color="auto"/>
        <w:left w:val="none" w:sz="0" w:space="0" w:color="auto"/>
        <w:bottom w:val="none" w:sz="0" w:space="0" w:color="auto"/>
        <w:right w:val="none" w:sz="0" w:space="0" w:color="auto"/>
      </w:divBdr>
      <w:divsChild>
        <w:div w:id="1125654810">
          <w:marLeft w:val="0"/>
          <w:marRight w:val="0"/>
          <w:marTop w:val="0"/>
          <w:marBottom w:val="0"/>
          <w:divBdr>
            <w:top w:val="none" w:sz="0" w:space="0" w:color="auto"/>
            <w:left w:val="none" w:sz="0" w:space="0" w:color="auto"/>
            <w:bottom w:val="none" w:sz="0" w:space="0" w:color="auto"/>
            <w:right w:val="none" w:sz="0" w:space="0" w:color="auto"/>
          </w:divBdr>
        </w:div>
      </w:divsChild>
    </w:div>
    <w:div w:id="30306364">
      <w:bodyDiv w:val="1"/>
      <w:marLeft w:val="0"/>
      <w:marRight w:val="0"/>
      <w:marTop w:val="0"/>
      <w:marBottom w:val="0"/>
      <w:divBdr>
        <w:top w:val="none" w:sz="0" w:space="0" w:color="auto"/>
        <w:left w:val="none" w:sz="0" w:space="0" w:color="auto"/>
        <w:bottom w:val="none" w:sz="0" w:space="0" w:color="auto"/>
        <w:right w:val="none" w:sz="0" w:space="0" w:color="auto"/>
      </w:divBdr>
      <w:divsChild>
        <w:div w:id="743449642">
          <w:marLeft w:val="0"/>
          <w:marRight w:val="0"/>
          <w:marTop w:val="0"/>
          <w:marBottom w:val="0"/>
          <w:divBdr>
            <w:top w:val="none" w:sz="0" w:space="0" w:color="auto"/>
            <w:left w:val="none" w:sz="0" w:space="0" w:color="auto"/>
            <w:bottom w:val="none" w:sz="0" w:space="0" w:color="auto"/>
            <w:right w:val="none" w:sz="0" w:space="0" w:color="auto"/>
          </w:divBdr>
        </w:div>
      </w:divsChild>
    </w:div>
    <w:div w:id="32197876">
      <w:bodyDiv w:val="1"/>
      <w:marLeft w:val="0"/>
      <w:marRight w:val="0"/>
      <w:marTop w:val="0"/>
      <w:marBottom w:val="0"/>
      <w:divBdr>
        <w:top w:val="none" w:sz="0" w:space="0" w:color="auto"/>
        <w:left w:val="none" w:sz="0" w:space="0" w:color="auto"/>
        <w:bottom w:val="none" w:sz="0" w:space="0" w:color="auto"/>
        <w:right w:val="none" w:sz="0" w:space="0" w:color="auto"/>
      </w:divBdr>
      <w:divsChild>
        <w:div w:id="2011516420">
          <w:marLeft w:val="0"/>
          <w:marRight w:val="0"/>
          <w:marTop w:val="0"/>
          <w:marBottom w:val="0"/>
          <w:divBdr>
            <w:top w:val="none" w:sz="0" w:space="0" w:color="auto"/>
            <w:left w:val="none" w:sz="0" w:space="0" w:color="auto"/>
            <w:bottom w:val="none" w:sz="0" w:space="0" w:color="auto"/>
            <w:right w:val="none" w:sz="0" w:space="0" w:color="auto"/>
          </w:divBdr>
        </w:div>
      </w:divsChild>
    </w:div>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67913240">
      <w:bodyDiv w:val="1"/>
      <w:marLeft w:val="0"/>
      <w:marRight w:val="0"/>
      <w:marTop w:val="0"/>
      <w:marBottom w:val="0"/>
      <w:divBdr>
        <w:top w:val="none" w:sz="0" w:space="0" w:color="auto"/>
        <w:left w:val="none" w:sz="0" w:space="0" w:color="auto"/>
        <w:bottom w:val="none" w:sz="0" w:space="0" w:color="auto"/>
        <w:right w:val="none" w:sz="0" w:space="0" w:color="auto"/>
      </w:divBdr>
    </w:div>
    <w:div w:id="172106869">
      <w:bodyDiv w:val="1"/>
      <w:marLeft w:val="0"/>
      <w:marRight w:val="0"/>
      <w:marTop w:val="0"/>
      <w:marBottom w:val="0"/>
      <w:divBdr>
        <w:top w:val="none" w:sz="0" w:space="0" w:color="auto"/>
        <w:left w:val="none" w:sz="0" w:space="0" w:color="auto"/>
        <w:bottom w:val="none" w:sz="0" w:space="0" w:color="auto"/>
        <w:right w:val="none" w:sz="0" w:space="0" w:color="auto"/>
      </w:divBdr>
    </w:div>
    <w:div w:id="202789916">
      <w:bodyDiv w:val="1"/>
      <w:marLeft w:val="0"/>
      <w:marRight w:val="0"/>
      <w:marTop w:val="0"/>
      <w:marBottom w:val="0"/>
      <w:divBdr>
        <w:top w:val="none" w:sz="0" w:space="0" w:color="auto"/>
        <w:left w:val="none" w:sz="0" w:space="0" w:color="auto"/>
        <w:bottom w:val="none" w:sz="0" w:space="0" w:color="auto"/>
        <w:right w:val="none" w:sz="0" w:space="0" w:color="auto"/>
      </w:divBdr>
    </w:div>
    <w:div w:id="208759601">
      <w:bodyDiv w:val="1"/>
      <w:marLeft w:val="0"/>
      <w:marRight w:val="0"/>
      <w:marTop w:val="0"/>
      <w:marBottom w:val="0"/>
      <w:divBdr>
        <w:top w:val="none" w:sz="0" w:space="0" w:color="auto"/>
        <w:left w:val="none" w:sz="0" w:space="0" w:color="auto"/>
        <w:bottom w:val="none" w:sz="0" w:space="0" w:color="auto"/>
        <w:right w:val="none" w:sz="0" w:space="0" w:color="auto"/>
      </w:divBdr>
    </w:div>
    <w:div w:id="215748622">
      <w:bodyDiv w:val="1"/>
      <w:marLeft w:val="0"/>
      <w:marRight w:val="0"/>
      <w:marTop w:val="0"/>
      <w:marBottom w:val="0"/>
      <w:divBdr>
        <w:top w:val="none" w:sz="0" w:space="0" w:color="auto"/>
        <w:left w:val="none" w:sz="0" w:space="0" w:color="auto"/>
        <w:bottom w:val="none" w:sz="0" w:space="0" w:color="auto"/>
        <w:right w:val="none" w:sz="0" w:space="0" w:color="auto"/>
      </w:divBdr>
    </w:div>
    <w:div w:id="258758991">
      <w:bodyDiv w:val="1"/>
      <w:marLeft w:val="0"/>
      <w:marRight w:val="0"/>
      <w:marTop w:val="0"/>
      <w:marBottom w:val="0"/>
      <w:divBdr>
        <w:top w:val="none" w:sz="0" w:space="0" w:color="auto"/>
        <w:left w:val="none" w:sz="0" w:space="0" w:color="auto"/>
        <w:bottom w:val="none" w:sz="0" w:space="0" w:color="auto"/>
        <w:right w:val="none" w:sz="0" w:space="0" w:color="auto"/>
      </w:divBdr>
      <w:divsChild>
        <w:div w:id="1393851795">
          <w:marLeft w:val="0"/>
          <w:marRight w:val="0"/>
          <w:marTop w:val="0"/>
          <w:marBottom w:val="0"/>
          <w:divBdr>
            <w:top w:val="none" w:sz="0" w:space="0" w:color="auto"/>
            <w:left w:val="none" w:sz="0" w:space="0" w:color="auto"/>
            <w:bottom w:val="none" w:sz="0" w:space="0" w:color="auto"/>
            <w:right w:val="none" w:sz="0" w:space="0" w:color="auto"/>
          </w:divBdr>
        </w:div>
      </w:divsChild>
    </w:div>
    <w:div w:id="289363409">
      <w:bodyDiv w:val="1"/>
      <w:marLeft w:val="0"/>
      <w:marRight w:val="0"/>
      <w:marTop w:val="0"/>
      <w:marBottom w:val="0"/>
      <w:divBdr>
        <w:top w:val="none" w:sz="0" w:space="0" w:color="auto"/>
        <w:left w:val="none" w:sz="0" w:space="0" w:color="auto"/>
        <w:bottom w:val="none" w:sz="0" w:space="0" w:color="auto"/>
        <w:right w:val="none" w:sz="0" w:space="0" w:color="auto"/>
      </w:divBdr>
      <w:divsChild>
        <w:div w:id="1930385778">
          <w:marLeft w:val="0"/>
          <w:marRight w:val="0"/>
          <w:marTop w:val="0"/>
          <w:marBottom w:val="0"/>
          <w:divBdr>
            <w:top w:val="none" w:sz="0" w:space="0" w:color="auto"/>
            <w:left w:val="none" w:sz="0" w:space="0" w:color="auto"/>
            <w:bottom w:val="none" w:sz="0" w:space="0" w:color="auto"/>
            <w:right w:val="none" w:sz="0" w:space="0" w:color="auto"/>
          </w:divBdr>
        </w:div>
      </w:divsChild>
    </w:div>
    <w:div w:id="314799154">
      <w:bodyDiv w:val="1"/>
      <w:marLeft w:val="0"/>
      <w:marRight w:val="0"/>
      <w:marTop w:val="0"/>
      <w:marBottom w:val="0"/>
      <w:divBdr>
        <w:top w:val="none" w:sz="0" w:space="0" w:color="auto"/>
        <w:left w:val="none" w:sz="0" w:space="0" w:color="auto"/>
        <w:bottom w:val="none" w:sz="0" w:space="0" w:color="auto"/>
        <w:right w:val="none" w:sz="0" w:space="0" w:color="auto"/>
      </w:divBdr>
    </w:div>
    <w:div w:id="324210477">
      <w:bodyDiv w:val="1"/>
      <w:marLeft w:val="0"/>
      <w:marRight w:val="0"/>
      <w:marTop w:val="0"/>
      <w:marBottom w:val="0"/>
      <w:divBdr>
        <w:top w:val="none" w:sz="0" w:space="0" w:color="auto"/>
        <w:left w:val="none" w:sz="0" w:space="0" w:color="auto"/>
        <w:bottom w:val="none" w:sz="0" w:space="0" w:color="auto"/>
        <w:right w:val="none" w:sz="0" w:space="0" w:color="auto"/>
      </w:divBdr>
      <w:divsChild>
        <w:div w:id="1506825789">
          <w:marLeft w:val="0"/>
          <w:marRight w:val="0"/>
          <w:marTop w:val="0"/>
          <w:marBottom w:val="0"/>
          <w:divBdr>
            <w:top w:val="none" w:sz="0" w:space="0" w:color="auto"/>
            <w:left w:val="none" w:sz="0" w:space="0" w:color="auto"/>
            <w:bottom w:val="none" w:sz="0" w:space="0" w:color="auto"/>
            <w:right w:val="none" w:sz="0" w:space="0" w:color="auto"/>
          </w:divBdr>
        </w:div>
      </w:divsChild>
    </w:div>
    <w:div w:id="415446833">
      <w:bodyDiv w:val="1"/>
      <w:marLeft w:val="0"/>
      <w:marRight w:val="0"/>
      <w:marTop w:val="0"/>
      <w:marBottom w:val="0"/>
      <w:divBdr>
        <w:top w:val="none" w:sz="0" w:space="0" w:color="auto"/>
        <w:left w:val="none" w:sz="0" w:space="0" w:color="auto"/>
        <w:bottom w:val="none" w:sz="0" w:space="0" w:color="auto"/>
        <w:right w:val="none" w:sz="0" w:space="0" w:color="auto"/>
      </w:divBdr>
      <w:divsChild>
        <w:div w:id="584653813">
          <w:marLeft w:val="0"/>
          <w:marRight w:val="0"/>
          <w:marTop w:val="0"/>
          <w:marBottom w:val="0"/>
          <w:divBdr>
            <w:top w:val="none" w:sz="0" w:space="0" w:color="auto"/>
            <w:left w:val="none" w:sz="0" w:space="0" w:color="auto"/>
            <w:bottom w:val="none" w:sz="0" w:space="0" w:color="auto"/>
            <w:right w:val="none" w:sz="0" w:space="0" w:color="auto"/>
          </w:divBdr>
        </w:div>
      </w:divsChild>
    </w:div>
    <w:div w:id="457653001">
      <w:bodyDiv w:val="1"/>
      <w:marLeft w:val="0"/>
      <w:marRight w:val="0"/>
      <w:marTop w:val="0"/>
      <w:marBottom w:val="0"/>
      <w:divBdr>
        <w:top w:val="none" w:sz="0" w:space="0" w:color="auto"/>
        <w:left w:val="none" w:sz="0" w:space="0" w:color="auto"/>
        <w:bottom w:val="none" w:sz="0" w:space="0" w:color="auto"/>
        <w:right w:val="none" w:sz="0" w:space="0" w:color="auto"/>
      </w:divBdr>
      <w:divsChild>
        <w:div w:id="297296386">
          <w:marLeft w:val="0"/>
          <w:marRight w:val="0"/>
          <w:marTop w:val="0"/>
          <w:marBottom w:val="0"/>
          <w:divBdr>
            <w:top w:val="none" w:sz="0" w:space="0" w:color="auto"/>
            <w:left w:val="none" w:sz="0" w:space="0" w:color="auto"/>
            <w:bottom w:val="none" w:sz="0" w:space="0" w:color="auto"/>
            <w:right w:val="none" w:sz="0" w:space="0" w:color="auto"/>
          </w:divBdr>
        </w:div>
      </w:divsChild>
    </w:div>
    <w:div w:id="464549245">
      <w:bodyDiv w:val="1"/>
      <w:marLeft w:val="0"/>
      <w:marRight w:val="0"/>
      <w:marTop w:val="0"/>
      <w:marBottom w:val="0"/>
      <w:divBdr>
        <w:top w:val="none" w:sz="0" w:space="0" w:color="auto"/>
        <w:left w:val="none" w:sz="0" w:space="0" w:color="auto"/>
        <w:bottom w:val="none" w:sz="0" w:space="0" w:color="auto"/>
        <w:right w:val="none" w:sz="0" w:space="0" w:color="auto"/>
      </w:divBdr>
    </w:div>
    <w:div w:id="474031790">
      <w:bodyDiv w:val="1"/>
      <w:marLeft w:val="0"/>
      <w:marRight w:val="0"/>
      <w:marTop w:val="0"/>
      <w:marBottom w:val="0"/>
      <w:divBdr>
        <w:top w:val="none" w:sz="0" w:space="0" w:color="auto"/>
        <w:left w:val="none" w:sz="0" w:space="0" w:color="auto"/>
        <w:bottom w:val="none" w:sz="0" w:space="0" w:color="auto"/>
        <w:right w:val="none" w:sz="0" w:space="0" w:color="auto"/>
      </w:divBdr>
    </w:div>
    <w:div w:id="481195907">
      <w:bodyDiv w:val="1"/>
      <w:marLeft w:val="0"/>
      <w:marRight w:val="0"/>
      <w:marTop w:val="0"/>
      <w:marBottom w:val="0"/>
      <w:divBdr>
        <w:top w:val="none" w:sz="0" w:space="0" w:color="auto"/>
        <w:left w:val="none" w:sz="0" w:space="0" w:color="auto"/>
        <w:bottom w:val="none" w:sz="0" w:space="0" w:color="auto"/>
        <w:right w:val="none" w:sz="0" w:space="0" w:color="auto"/>
      </w:divBdr>
    </w:div>
    <w:div w:id="549345862">
      <w:bodyDiv w:val="1"/>
      <w:marLeft w:val="0"/>
      <w:marRight w:val="0"/>
      <w:marTop w:val="0"/>
      <w:marBottom w:val="0"/>
      <w:divBdr>
        <w:top w:val="none" w:sz="0" w:space="0" w:color="auto"/>
        <w:left w:val="none" w:sz="0" w:space="0" w:color="auto"/>
        <w:bottom w:val="none" w:sz="0" w:space="0" w:color="auto"/>
        <w:right w:val="none" w:sz="0" w:space="0" w:color="auto"/>
      </w:divBdr>
      <w:divsChild>
        <w:div w:id="161435808">
          <w:marLeft w:val="0"/>
          <w:marRight w:val="0"/>
          <w:marTop w:val="0"/>
          <w:marBottom w:val="0"/>
          <w:divBdr>
            <w:top w:val="none" w:sz="0" w:space="0" w:color="auto"/>
            <w:left w:val="none" w:sz="0" w:space="0" w:color="auto"/>
            <w:bottom w:val="none" w:sz="0" w:space="0" w:color="auto"/>
            <w:right w:val="none" w:sz="0" w:space="0" w:color="auto"/>
          </w:divBdr>
        </w:div>
      </w:divsChild>
    </w:div>
    <w:div w:id="573661228">
      <w:bodyDiv w:val="1"/>
      <w:marLeft w:val="0"/>
      <w:marRight w:val="0"/>
      <w:marTop w:val="0"/>
      <w:marBottom w:val="0"/>
      <w:divBdr>
        <w:top w:val="none" w:sz="0" w:space="0" w:color="auto"/>
        <w:left w:val="none" w:sz="0" w:space="0" w:color="auto"/>
        <w:bottom w:val="none" w:sz="0" w:space="0" w:color="auto"/>
        <w:right w:val="none" w:sz="0" w:space="0" w:color="auto"/>
      </w:divBdr>
      <w:divsChild>
        <w:div w:id="1094471810">
          <w:marLeft w:val="0"/>
          <w:marRight w:val="0"/>
          <w:marTop w:val="0"/>
          <w:marBottom w:val="0"/>
          <w:divBdr>
            <w:top w:val="none" w:sz="0" w:space="0" w:color="auto"/>
            <w:left w:val="none" w:sz="0" w:space="0" w:color="auto"/>
            <w:bottom w:val="none" w:sz="0" w:space="0" w:color="auto"/>
            <w:right w:val="none" w:sz="0" w:space="0" w:color="auto"/>
          </w:divBdr>
        </w:div>
      </w:divsChild>
    </w:div>
    <w:div w:id="598220428">
      <w:bodyDiv w:val="1"/>
      <w:marLeft w:val="0"/>
      <w:marRight w:val="0"/>
      <w:marTop w:val="0"/>
      <w:marBottom w:val="0"/>
      <w:divBdr>
        <w:top w:val="none" w:sz="0" w:space="0" w:color="auto"/>
        <w:left w:val="none" w:sz="0" w:space="0" w:color="auto"/>
        <w:bottom w:val="none" w:sz="0" w:space="0" w:color="auto"/>
        <w:right w:val="none" w:sz="0" w:space="0" w:color="auto"/>
      </w:divBdr>
      <w:divsChild>
        <w:div w:id="1513839063">
          <w:marLeft w:val="0"/>
          <w:marRight w:val="0"/>
          <w:marTop w:val="0"/>
          <w:marBottom w:val="0"/>
          <w:divBdr>
            <w:top w:val="none" w:sz="0" w:space="0" w:color="auto"/>
            <w:left w:val="none" w:sz="0" w:space="0" w:color="auto"/>
            <w:bottom w:val="none" w:sz="0" w:space="0" w:color="auto"/>
            <w:right w:val="none" w:sz="0" w:space="0" w:color="auto"/>
          </w:divBdr>
        </w:div>
      </w:divsChild>
    </w:div>
    <w:div w:id="637103248">
      <w:bodyDiv w:val="1"/>
      <w:marLeft w:val="0"/>
      <w:marRight w:val="0"/>
      <w:marTop w:val="0"/>
      <w:marBottom w:val="0"/>
      <w:divBdr>
        <w:top w:val="none" w:sz="0" w:space="0" w:color="auto"/>
        <w:left w:val="none" w:sz="0" w:space="0" w:color="auto"/>
        <w:bottom w:val="none" w:sz="0" w:space="0" w:color="auto"/>
        <w:right w:val="none" w:sz="0" w:space="0" w:color="auto"/>
      </w:divBdr>
      <w:divsChild>
        <w:div w:id="1475484798">
          <w:marLeft w:val="0"/>
          <w:marRight w:val="0"/>
          <w:marTop w:val="0"/>
          <w:marBottom w:val="0"/>
          <w:divBdr>
            <w:top w:val="none" w:sz="0" w:space="0" w:color="auto"/>
            <w:left w:val="none" w:sz="0" w:space="0" w:color="auto"/>
            <w:bottom w:val="none" w:sz="0" w:space="0" w:color="auto"/>
            <w:right w:val="none" w:sz="0" w:space="0" w:color="auto"/>
          </w:divBdr>
        </w:div>
      </w:divsChild>
    </w:div>
    <w:div w:id="647318865">
      <w:bodyDiv w:val="1"/>
      <w:marLeft w:val="0"/>
      <w:marRight w:val="0"/>
      <w:marTop w:val="0"/>
      <w:marBottom w:val="0"/>
      <w:divBdr>
        <w:top w:val="none" w:sz="0" w:space="0" w:color="auto"/>
        <w:left w:val="none" w:sz="0" w:space="0" w:color="auto"/>
        <w:bottom w:val="none" w:sz="0" w:space="0" w:color="auto"/>
        <w:right w:val="none" w:sz="0" w:space="0" w:color="auto"/>
      </w:divBdr>
      <w:divsChild>
        <w:div w:id="1768306519">
          <w:marLeft w:val="0"/>
          <w:marRight w:val="0"/>
          <w:marTop w:val="0"/>
          <w:marBottom w:val="0"/>
          <w:divBdr>
            <w:top w:val="none" w:sz="0" w:space="0" w:color="auto"/>
            <w:left w:val="none" w:sz="0" w:space="0" w:color="auto"/>
            <w:bottom w:val="none" w:sz="0" w:space="0" w:color="auto"/>
            <w:right w:val="none" w:sz="0" w:space="0" w:color="auto"/>
          </w:divBdr>
        </w:div>
      </w:divsChild>
    </w:div>
    <w:div w:id="818153041">
      <w:bodyDiv w:val="1"/>
      <w:marLeft w:val="0"/>
      <w:marRight w:val="0"/>
      <w:marTop w:val="0"/>
      <w:marBottom w:val="0"/>
      <w:divBdr>
        <w:top w:val="none" w:sz="0" w:space="0" w:color="auto"/>
        <w:left w:val="none" w:sz="0" w:space="0" w:color="auto"/>
        <w:bottom w:val="none" w:sz="0" w:space="0" w:color="auto"/>
        <w:right w:val="none" w:sz="0" w:space="0" w:color="auto"/>
      </w:divBdr>
      <w:divsChild>
        <w:div w:id="1498812769">
          <w:marLeft w:val="0"/>
          <w:marRight w:val="0"/>
          <w:marTop w:val="0"/>
          <w:marBottom w:val="0"/>
          <w:divBdr>
            <w:top w:val="none" w:sz="0" w:space="0" w:color="auto"/>
            <w:left w:val="none" w:sz="0" w:space="0" w:color="auto"/>
            <w:bottom w:val="none" w:sz="0" w:space="0" w:color="auto"/>
            <w:right w:val="none" w:sz="0" w:space="0" w:color="auto"/>
          </w:divBdr>
        </w:div>
      </w:divsChild>
    </w:div>
    <w:div w:id="838621981">
      <w:bodyDiv w:val="1"/>
      <w:marLeft w:val="0"/>
      <w:marRight w:val="0"/>
      <w:marTop w:val="0"/>
      <w:marBottom w:val="0"/>
      <w:divBdr>
        <w:top w:val="none" w:sz="0" w:space="0" w:color="auto"/>
        <w:left w:val="none" w:sz="0" w:space="0" w:color="auto"/>
        <w:bottom w:val="none" w:sz="0" w:space="0" w:color="auto"/>
        <w:right w:val="none" w:sz="0" w:space="0" w:color="auto"/>
      </w:divBdr>
      <w:divsChild>
        <w:div w:id="1043794309">
          <w:marLeft w:val="0"/>
          <w:marRight w:val="0"/>
          <w:marTop w:val="0"/>
          <w:marBottom w:val="0"/>
          <w:divBdr>
            <w:top w:val="none" w:sz="0" w:space="0" w:color="auto"/>
            <w:left w:val="none" w:sz="0" w:space="0" w:color="auto"/>
            <w:bottom w:val="none" w:sz="0" w:space="0" w:color="auto"/>
            <w:right w:val="none" w:sz="0" w:space="0" w:color="auto"/>
          </w:divBdr>
        </w:div>
      </w:divsChild>
    </w:div>
    <w:div w:id="847331983">
      <w:bodyDiv w:val="1"/>
      <w:marLeft w:val="0"/>
      <w:marRight w:val="0"/>
      <w:marTop w:val="0"/>
      <w:marBottom w:val="0"/>
      <w:divBdr>
        <w:top w:val="none" w:sz="0" w:space="0" w:color="auto"/>
        <w:left w:val="none" w:sz="0" w:space="0" w:color="auto"/>
        <w:bottom w:val="none" w:sz="0" w:space="0" w:color="auto"/>
        <w:right w:val="none" w:sz="0" w:space="0" w:color="auto"/>
      </w:divBdr>
      <w:divsChild>
        <w:div w:id="633367801">
          <w:marLeft w:val="0"/>
          <w:marRight w:val="0"/>
          <w:marTop w:val="0"/>
          <w:marBottom w:val="0"/>
          <w:divBdr>
            <w:top w:val="none" w:sz="0" w:space="0" w:color="auto"/>
            <w:left w:val="none" w:sz="0" w:space="0" w:color="auto"/>
            <w:bottom w:val="none" w:sz="0" w:space="0" w:color="auto"/>
            <w:right w:val="none" w:sz="0" w:space="0" w:color="auto"/>
          </w:divBdr>
        </w:div>
      </w:divsChild>
    </w:div>
    <w:div w:id="882595978">
      <w:bodyDiv w:val="1"/>
      <w:marLeft w:val="0"/>
      <w:marRight w:val="0"/>
      <w:marTop w:val="0"/>
      <w:marBottom w:val="0"/>
      <w:divBdr>
        <w:top w:val="none" w:sz="0" w:space="0" w:color="auto"/>
        <w:left w:val="none" w:sz="0" w:space="0" w:color="auto"/>
        <w:bottom w:val="none" w:sz="0" w:space="0" w:color="auto"/>
        <w:right w:val="none" w:sz="0" w:space="0" w:color="auto"/>
      </w:divBdr>
      <w:divsChild>
        <w:div w:id="831407927">
          <w:marLeft w:val="1267"/>
          <w:marRight w:val="0"/>
          <w:marTop w:val="120"/>
          <w:marBottom w:val="0"/>
          <w:divBdr>
            <w:top w:val="none" w:sz="0" w:space="0" w:color="auto"/>
            <w:left w:val="none" w:sz="0" w:space="0" w:color="auto"/>
            <w:bottom w:val="none" w:sz="0" w:space="0" w:color="auto"/>
            <w:right w:val="none" w:sz="0" w:space="0" w:color="auto"/>
          </w:divBdr>
        </w:div>
        <w:div w:id="809638453">
          <w:marLeft w:val="1267"/>
          <w:marRight w:val="0"/>
          <w:marTop w:val="120"/>
          <w:marBottom w:val="0"/>
          <w:divBdr>
            <w:top w:val="none" w:sz="0" w:space="0" w:color="auto"/>
            <w:left w:val="none" w:sz="0" w:space="0" w:color="auto"/>
            <w:bottom w:val="none" w:sz="0" w:space="0" w:color="auto"/>
            <w:right w:val="none" w:sz="0" w:space="0" w:color="auto"/>
          </w:divBdr>
        </w:div>
        <w:div w:id="1850945547">
          <w:marLeft w:val="1267"/>
          <w:marRight w:val="0"/>
          <w:marTop w:val="120"/>
          <w:marBottom w:val="0"/>
          <w:divBdr>
            <w:top w:val="none" w:sz="0" w:space="0" w:color="auto"/>
            <w:left w:val="none" w:sz="0" w:space="0" w:color="auto"/>
            <w:bottom w:val="none" w:sz="0" w:space="0" w:color="auto"/>
            <w:right w:val="none" w:sz="0" w:space="0" w:color="auto"/>
          </w:divBdr>
        </w:div>
        <w:div w:id="252204449">
          <w:marLeft w:val="1267"/>
          <w:marRight w:val="0"/>
          <w:marTop w:val="120"/>
          <w:marBottom w:val="0"/>
          <w:divBdr>
            <w:top w:val="none" w:sz="0" w:space="0" w:color="auto"/>
            <w:left w:val="none" w:sz="0" w:space="0" w:color="auto"/>
            <w:bottom w:val="none" w:sz="0" w:space="0" w:color="auto"/>
            <w:right w:val="none" w:sz="0" w:space="0" w:color="auto"/>
          </w:divBdr>
        </w:div>
      </w:divsChild>
    </w:div>
    <w:div w:id="915210571">
      <w:bodyDiv w:val="1"/>
      <w:marLeft w:val="0"/>
      <w:marRight w:val="0"/>
      <w:marTop w:val="0"/>
      <w:marBottom w:val="0"/>
      <w:divBdr>
        <w:top w:val="none" w:sz="0" w:space="0" w:color="auto"/>
        <w:left w:val="none" w:sz="0" w:space="0" w:color="auto"/>
        <w:bottom w:val="none" w:sz="0" w:space="0" w:color="auto"/>
        <w:right w:val="none" w:sz="0" w:space="0" w:color="auto"/>
      </w:divBdr>
    </w:div>
    <w:div w:id="957687246">
      <w:bodyDiv w:val="1"/>
      <w:marLeft w:val="0"/>
      <w:marRight w:val="0"/>
      <w:marTop w:val="0"/>
      <w:marBottom w:val="0"/>
      <w:divBdr>
        <w:top w:val="none" w:sz="0" w:space="0" w:color="auto"/>
        <w:left w:val="none" w:sz="0" w:space="0" w:color="auto"/>
        <w:bottom w:val="none" w:sz="0" w:space="0" w:color="auto"/>
        <w:right w:val="none" w:sz="0" w:space="0" w:color="auto"/>
      </w:divBdr>
      <w:divsChild>
        <w:div w:id="1781953749">
          <w:marLeft w:val="0"/>
          <w:marRight w:val="0"/>
          <w:marTop w:val="0"/>
          <w:marBottom w:val="0"/>
          <w:divBdr>
            <w:top w:val="none" w:sz="0" w:space="0" w:color="auto"/>
            <w:left w:val="none" w:sz="0" w:space="0" w:color="auto"/>
            <w:bottom w:val="none" w:sz="0" w:space="0" w:color="auto"/>
            <w:right w:val="none" w:sz="0" w:space="0" w:color="auto"/>
          </w:divBdr>
        </w:div>
      </w:divsChild>
    </w:div>
    <w:div w:id="960067555">
      <w:bodyDiv w:val="1"/>
      <w:marLeft w:val="0"/>
      <w:marRight w:val="0"/>
      <w:marTop w:val="0"/>
      <w:marBottom w:val="0"/>
      <w:divBdr>
        <w:top w:val="none" w:sz="0" w:space="0" w:color="auto"/>
        <w:left w:val="none" w:sz="0" w:space="0" w:color="auto"/>
        <w:bottom w:val="none" w:sz="0" w:space="0" w:color="auto"/>
        <w:right w:val="none" w:sz="0" w:space="0" w:color="auto"/>
      </w:divBdr>
      <w:divsChild>
        <w:div w:id="165558347">
          <w:marLeft w:val="0"/>
          <w:marRight w:val="0"/>
          <w:marTop w:val="0"/>
          <w:marBottom w:val="0"/>
          <w:divBdr>
            <w:top w:val="none" w:sz="0" w:space="0" w:color="auto"/>
            <w:left w:val="none" w:sz="0" w:space="0" w:color="auto"/>
            <w:bottom w:val="none" w:sz="0" w:space="0" w:color="auto"/>
            <w:right w:val="none" w:sz="0" w:space="0" w:color="auto"/>
          </w:divBdr>
        </w:div>
      </w:divsChild>
    </w:div>
    <w:div w:id="984160178">
      <w:bodyDiv w:val="1"/>
      <w:marLeft w:val="0"/>
      <w:marRight w:val="0"/>
      <w:marTop w:val="0"/>
      <w:marBottom w:val="0"/>
      <w:divBdr>
        <w:top w:val="none" w:sz="0" w:space="0" w:color="auto"/>
        <w:left w:val="none" w:sz="0" w:space="0" w:color="auto"/>
        <w:bottom w:val="none" w:sz="0" w:space="0" w:color="auto"/>
        <w:right w:val="none" w:sz="0" w:space="0" w:color="auto"/>
      </w:divBdr>
    </w:div>
    <w:div w:id="1017971878">
      <w:bodyDiv w:val="1"/>
      <w:marLeft w:val="0"/>
      <w:marRight w:val="0"/>
      <w:marTop w:val="0"/>
      <w:marBottom w:val="0"/>
      <w:divBdr>
        <w:top w:val="none" w:sz="0" w:space="0" w:color="auto"/>
        <w:left w:val="none" w:sz="0" w:space="0" w:color="auto"/>
        <w:bottom w:val="none" w:sz="0" w:space="0" w:color="auto"/>
        <w:right w:val="none" w:sz="0" w:space="0" w:color="auto"/>
      </w:divBdr>
      <w:divsChild>
        <w:div w:id="1403259039">
          <w:marLeft w:val="0"/>
          <w:marRight w:val="0"/>
          <w:marTop w:val="0"/>
          <w:marBottom w:val="0"/>
          <w:divBdr>
            <w:top w:val="none" w:sz="0" w:space="0" w:color="auto"/>
            <w:left w:val="none" w:sz="0" w:space="0" w:color="auto"/>
            <w:bottom w:val="none" w:sz="0" w:space="0" w:color="auto"/>
            <w:right w:val="none" w:sz="0" w:space="0" w:color="auto"/>
          </w:divBdr>
        </w:div>
      </w:divsChild>
    </w:div>
    <w:div w:id="1030255214">
      <w:bodyDiv w:val="1"/>
      <w:marLeft w:val="0"/>
      <w:marRight w:val="0"/>
      <w:marTop w:val="0"/>
      <w:marBottom w:val="0"/>
      <w:divBdr>
        <w:top w:val="none" w:sz="0" w:space="0" w:color="auto"/>
        <w:left w:val="none" w:sz="0" w:space="0" w:color="auto"/>
        <w:bottom w:val="none" w:sz="0" w:space="0" w:color="auto"/>
        <w:right w:val="none" w:sz="0" w:space="0" w:color="auto"/>
      </w:divBdr>
    </w:div>
    <w:div w:id="1069960100">
      <w:bodyDiv w:val="1"/>
      <w:marLeft w:val="0"/>
      <w:marRight w:val="0"/>
      <w:marTop w:val="0"/>
      <w:marBottom w:val="0"/>
      <w:divBdr>
        <w:top w:val="none" w:sz="0" w:space="0" w:color="auto"/>
        <w:left w:val="none" w:sz="0" w:space="0" w:color="auto"/>
        <w:bottom w:val="none" w:sz="0" w:space="0" w:color="auto"/>
        <w:right w:val="none" w:sz="0" w:space="0" w:color="auto"/>
      </w:divBdr>
      <w:divsChild>
        <w:div w:id="1049693560">
          <w:marLeft w:val="0"/>
          <w:marRight w:val="0"/>
          <w:marTop w:val="0"/>
          <w:marBottom w:val="0"/>
          <w:divBdr>
            <w:top w:val="none" w:sz="0" w:space="0" w:color="auto"/>
            <w:left w:val="none" w:sz="0" w:space="0" w:color="auto"/>
            <w:bottom w:val="none" w:sz="0" w:space="0" w:color="auto"/>
            <w:right w:val="none" w:sz="0" w:space="0" w:color="auto"/>
          </w:divBdr>
        </w:div>
      </w:divsChild>
    </w:div>
    <w:div w:id="1320380179">
      <w:bodyDiv w:val="1"/>
      <w:marLeft w:val="0"/>
      <w:marRight w:val="0"/>
      <w:marTop w:val="0"/>
      <w:marBottom w:val="0"/>
      <w:divBdr>
        <w:top w:val="none" w:sz="0" w:space="0" w:color="auto"/>
        <w:left w:val="none" w:sz="0" w:space="0" w:color="auto"/>
        <w:bottom w:val="none" w:sz="0" w:space="0" w:color="auto"/>
        <w:right w:val="none" w:sz="0" w:space="0" w:color="auto"/>
      </w:divBdr>
      <w:divsChild>
        <w:div w:id="758331753">
          <w:marLeft w:val="432"/>
          <w:marRight w:val="216"/>
          <w:marTop w:val="0"/>
          <w:marBottom w:val="0"/>
          <w:divBdr>
            <w:top w:val="none" w:sz="0" w:space="0" w:color="auto"/>
            <w:left w:val="none" w:sz="0" w:space="0" w:color="auto"/>
            <w:bottom w:val="none" w:sz="0" w:space="0" w:color="auto"/>
            <w:right w:val="none" w:sz="0" w:space="0" w:color="auto"/>
          </w:divBdr>
        </w:div>
        <w:div w:id="2024165824">
          <w:marLeft w:val="216"/>
          <w:marRight w:val="432"/>
          <w:marTop w:val="0"/>
          <w:marBottom w:val="0"/>
          <w:divBdr>
            <w:top w:val="none" w:sz="0" w:space="0" w:color="auto"/>
            <w:left w:val="none" w:sz="0" w:space="0" w:color="auto"/>
            <w:bottom w:val="none" w:sz="0" w:space="0" w:color="auto"/>
            <w:right w:val="none" w:sz="0" w:space="0" w:color="auto"/>
          </w:divBdr>
        </w:div>
        <w:div w:id="1264191398">
          <w:marLeft w:val="432"/>
          <w:marRight w:val="216"/>
          <w:marTop w:val="0"/>
          <w:marBottom w:val="0"/>
          <w:divBdr>
            <w:top w:val="none" w:sz="0" w:space="0" w:color="auto"/>
            <w:left w:val="none" w:sz="0" w:space="0" w:color="auto"/>
            <w:bottom w:val="none" w:sz="0" w:space="0" w:color="auto"/>
            <w:right w:val="none" w:sz="0" w:space="0" w:color="auto"/>
          </w:divBdr>
        </w:div>
        <w:div w:id="2004234726">
          <w:marLeft w:val="216"/>
          <w:marRight w:val="432"/>
          <w:marTop w:val="0"/>
          <w:marBottom w:val="0"/>
          <w:divBdr>
            <w:top w:val="none" w:sz="0" w:space="0" w:color="auto"/>
            <w:left w:val="none" w:sz="0" w:space="0" w:color="auto"/>
            <w:bottom w:val="none" w:sz="0" w:space="0" w:color="auto"/>
            <w:right w:val="none" w:sz="0" w:space="0" w:color="auto"/>
          </w:divBdr>
        </w:div>
      </w:divsChild>
    </w:div>
    <w:div w:id="1364481667">
      <w:bodyDiv w:val="1"/>
      <w:marLeft w:val="0"/>
      <w:marRight w:val="0"/>
      <w:marTop w:val="0"/>
      <w:marBottom w:val="0"/>
      <w:divBdr>
        <w:top w:val="none" w:sz="0" w:space="0" w:color="auto"/>
        <w:left w:val="none" w:sz="0" w:space="0" w:color="auto"/>
        <w:bottom w:val="none" w:sz="0" w:space="0" w:color="auto"/>
        <w:right w:val="none" w:sz="0" w:space="0" w:color="auto"/>
      </w:divBdr>
      <w:divsChild>
        <w:div w:id="1117063371">
          <w:marLeft w:val="0"/>
          <w:marRight w:val="0"/>
          <w:marTop w:val="0"/>
          <w:marBottom w:val="0"/>
          <w:divBdr>
            <w:top w:val="none" w:sz="0" w:space="0" w:color="auto"/>
            <w:left w:val="none" w:sz="0" w:space="0" w:color="auto"/>
            <w:bottom w:val="none" w:sz="0" w:space="0" w:color="auto"/>
            <w:right w:val="none" w:sz="0" w:space="0" w:color="auto"/>
          </w:divBdr>
        </w:div>
      </w:divsChild>
    </w:div>
    <w:div w:id="1400206166">
      <w:bodyDiv w:val="1"/>
      <w:marLeft w:val="0"/>
      <w:marRight w:val="0"/>
      <w:marTop w:val="0"/>
      <w:marBottom w:val="0"/>
      <w:divBdr>
        <w:top w:val="none" w:sz="0" w:space="0" w:color="auto"/>
        <w:left w:val="none" w:sz="0" w:space="0" w:color="auto"/>
        <w:bottom w:val="none" w:sz="0" w:space="0" w:color="auto"/>
        <w:right w:val="none" w:sz="0" w:space="0" w:color="auto"/>
      </w:divBdr>
      <w:divsChild>
        <w:div w:id="1190332972">
          <w:marLeft w:val="0"/>
          <w:marRight w:val="0"/>
          <w:marTop w:val="0"/>
          <w:marBottom w:val="0"/>
          <w:divBdr>
            <w:top w:val="none" w:sz="0" w:space="0" w:color="auto"/>
            <w:left w:val="none" w:sz="0" w:space="0" w:color="auto"/>
            <w:bottom w:val="none" w:sz="0" w:space="0" w:color="auto"/>
            <w:right w:val="none" w:sz="0" w:space="0" w:color="auto"/>
          </w:divBdr>
        </w:div>
      </w:divsChild>
    </w:div>
    <w:div w:id="1421177461">
      <w:bodyDiv w:val="1"/>
      <w:marLeft w:val="0"/>
      <w:marRight w:val="0"/>
      <w:marTop w:val="0"/>
      <w:marBottom w:val="0"/>
      <w:divBdr>
        <w:top w:val="none" w:sz="0" w:space="0" w:color="auto"/>
        <w:left w:val="none" w:sz="0" w:space="0" w:color="auto"/>
        <w:bottom w:val="none" w:sz="0" w:space="0" w:color="auto"/>
        <w:right w:val="none" w:sz="0" w:space="0" w:color="auto"/>
      </w:divBdr>
    </w:div>
    <w:div w:id="1534347002">
      <w:bodyDiv w:val="1"/>
      <w:marLeft w:val="0"/>
      <w:marRight w:val="0"/>
      <w:marTop w:val="0"/>
      <w:marBottom w:val="0"/>
      <w:divBdr>
        <w:top w:val="none" w:sz="0" w:space="0" w:color="auto"/>
        <w:left w:val="none" w:sz="0" w:space="0" w:color="auto"/>
        <w:bottom w:val="none" w:sz="0" w:space="0" w:color="auto"/>
        <w:right w:val="none" w:sz="0" w:space="0" w:color="auto"/>
      </w:divBdr>
      <w:divsChild>
        <w:div w:id="2049642132">
          <w:marLeft w:val="0"/>
          <w:marRight w:val="0"/>
          <w:marTop w:val="0"/>
          <w:marBottom w:val="0"/>
          <w:divBdr>
            <w:top w:val="none" w:sz="0" w:space="0" w:color="auto"/>
            <w:left w:val="none" w:sz="0" w:space="0" w:color="auto"/>
            <w:bottom w:val="none" w:sz="0" w:space="0" w:color="auto"/>
            <w:right w:val="none" w:sz="0" w:space="0" w:color="auto"/>
          </w:divBdr>
        </w:div>
      </w:divsChild>
    </w:div>
    <w:div w:id="1569150616">
      <w:bodyDiv w:val="1"/>
      <w:marLeft w:val="0"/>
      <w:marRight w:val="0"/>
      <w:marTop w:val="0"/>
      <w:marBottom w:val="0"/>
      <w:divBdr>
        <w:top w:val="none" w:sz="0" w:space="0" w:color="auto"/>
        <w:left w:val="none" w:sz="0" w:space="0" w:color="auto"/>
        <w:bottom w:val="none" w:sz="0" w:space="0" w:color="auto"/>
        <w:right w:val="none" w:sz="0" w:space="0" w:color="auto"/>
      </w:divBdr>
      <w:divsChild>
        <w:div w:id="1626232162">
          <w:marLeft w:val="1267"/>
          <w:marRight w:val="0"/>
          <w:marTop w:val="120"/>
          <w:marBottom w:val="0"/>
          <w:divBdr>
            <w:top w:val="none" w:sz="0" w:space="0" w:color="auto"/>
            <w:left w:val="none" w:sz="0" w:space="0" w:color="auto"/>
            <w:bottom w:val="none" w:sz="0" w:space="0" w:color="auto"/>
            <w:right w:val="none" w:sz="0" w:space="0" w:color="auto"/>
          </w:divBdr>
        </w:div>
        <w:div w:id="2091080238">
          <w:marLeft w:val="1267"/>
          <w:marRight w:val="0"/>
          <w:marTop w:val="120"/>
          <w:marBottom w:val="0"/>
          <w:divBdr>
            <w:top w:val="none" w:sz="0" w:space="0" w:color="auto"/>
            <w:left w:val="none" w:sz="0" w:space="0" w:color="auto"/>
            <w:bottom w:val="none" w:sz="0" w:space="0" w:color="auto"/>
            <w:right w:val="none" w:sz="0" w:space="0" w:color="auto"/>
          </w:divBdr>
        </w:div>
        <w:div w:id="852914596">
          <w:marLeft w:val="1267"/>
          <w:marRight w:val="0"/>
          <w:marTop w:val="120"/>
          <w:marBottom w:val="0"/>
          <w:divBdr>
            <w:top w:val="none" w:sz="0" w:space="0" w:color="auto"/>
            <w:left w:val="none" w:sz="0" w:space="0" w:color="auto"/>
            <w:bottom w:val="none" w:sz="0" w:space="0" w:color="auto"/>
            <w:right w:val="none" w:sz="0" w:space="0" w:color="auto"/>
          </w:divBdr>
        </w:div>
      </w:divsChild>
    </w:div>
    <w:div w:id="1580168377">
      <w:bodyDiv w:val="1"/>
      <w:marLeft w:val="0"/>
      <w:marRight w:val="0"/>
      <w:marTop w:val="0"/>
      <w:marBottom w:val="0"/>
      <w:divBdr>
        <w:top w:val="none" w:sz="0" w:space="0" w:color="auto"/>
        <w:left w:val="none" w:sz="0" w:space="0" w:color="auto"/>
        <w:bottom w:val="none" w:sz="0" w:space="0" w:color="auto"/>
        <w:right w:val="none" w:sz="0" w:space="0" w:color="auto"/>
      </w:divBdr>
    </w:div>
    <w:div w:id="1594319910">
      <w:bodyDiv w:val="1"/>
      <w:marLeft w:val="0"/>
      <w:marRight w:val="0"/>
      <w:marTop w:val="0"/>
      <w:marBottom w:val="0"/>
      <w:divBdr>
        <w:top w:val="none" w:sz="0" w:space="0" w:color="auto"/>
        <w:left w:val="none" w:sz="0" w:space="0" w:color="auto"/>
        <w:bottom w:val="none" w:sz="0" w:space="0" w:color="auto"/>
        <w:right w:val="none" w:sz="0" w:space="0" w:color="auto"/>
      </w:divBdr>
    </w:div>
    <w:div w:id="1597598461">
      <w:bodyDiv w:val="1"/>
      <w:marLeft w:val="0"/>
      <w:marRight w:val="0"/>
      <w:marTop w:val="0"/>
      <w:marBottom w:val="0"/>
      <w:divBdr>
        <w:top w:val="none" w:sz="0" w:space="0" w:color="auto"/>
        <w:left w:val="none" w:sz="0" w:space="0" w:color="auto"/>
        <w:bottom w:val="none" w:sz="0" w:space="0" w:color="auto"/>
        <w:right w:val="none" w:sz="0" w:space="0" w:color="auto"/>
      </w:divBdr>
    </w:div>
    <w:div w:id="1609267274">
      <w:bodyDiv w:val="1"/>
      <w:marLeft w:val="0"/>
      <w:marRight w:val="0"/>
      <w:marTop w:val="0"/>
      <w:marBottom w:val="0"/>
      <w:divBdr>
        <w:top w:val="none" w:sz="0" w:space="0" w:color="auto"/>
        <w:left w:val="none" w:sz="0" w:space="0" w:color="auto"/>
        <w:bottom w:val="none" w:sz="0" w:space="0" w:color="auto"/>
        <w:right w:val="none" w:sz="0" w:space="0" w:color="auto"/>
      </w:divBdr>
    </w:div>
    <w:div w:id="1611084734">
      <w:bodyDiv w:val="1"/>
      <w:marLeft w:val="0"/>
      <w:marRight w:val="0"/>
      <w:marTop w:val="0"/>
      <w:marBottom w:val="0"/>
      <w:divBdr>
        <w:top w:val="none" w:sz="0" w:space="0" w:color="auto"/>
        <w:left w:val="none" w:sz="0" w:space="0" w:color="auto"/>
        <w:bottom w:val="none" w:sz="0" w:space="0" w:color="auto"/>
        <w:right w:val="none" w:sz="0" w:space="0" w:color="auto"/>
      </w:divBdr>
    </w:div>
    <w:div w:id="1617831382">
      <w:bodyDiv w:val="1"/>
      <w:marLeft w:val="0"/>
      <w:marRight w:val="0"/>
      <w:marTop w:val="0"/>
      <w:marBottom w:val="0"/>
      <w:divBdr>
        <w:top w:val="none" w:sz="0" w:space="0" w:color="auto"/>
        <w:left w:val="none" w:sz="0" w:space="0" w:color="auto"/>
        <w:bottom w:val="none" w:sz="0" w:space="0" w:color="auto"/>
        <w:right w:val="none" w:sz="0" w:space="0" w:color="auto"/>
      </w:divBdr>
    </w:div>
    <w:div w:id="1622808650">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 w:id="1740058447">
      <w:bodyDiv w:val="1"/>
      <w:marLeft w:val="0"/>
      <w:marRight w:val="0"/>
      <w:marTop w:val="0"/>
      <w:marBottom w:val="0"/>
      <w:divBdr>
        <w:top w:val="none" w:sz="0" w:space="0" w:color="auto"/>
        <w:left w:val="none" w:sz="0" w:space="0" w:color="auto"/>
        <w:bottom w:val="none" w:sz="0" w:space="0" w:color="auto"/>
        <w:right w:val="none" w:sz="0" w:space="0" w:color="auto"/>
      </w:divBdr>
      <w:divsChild>
        <w:div w:id="1657495284">
          <w:marLeft w:val="0"/>
          <w:marRight w:val="0"/>
          <w:marTop w:val="0"/>
          <w:marBottom w:val="0"/>
          <w:divBdr>
            <w:top w:val="none" w:sz="0" w:space="0" w:color="auto"/>
            <w:left w:val="none" w:sz="0" w:space="0" w:color="auto"/>
            <w:bottom w:val="none" w:sz="0" w:space="0" w:color="auto"/>
            <w:right w:val="none" w:sz="0" w:space="0" w:color="auto"/>
          </w:divBdr>
        </w:div>
      </w:divsChild>
    </w:div>
    <w:div w:id="1779717031">
      <w:bodyDiv w:val="1"/>
      <w:marLeft w:val="0"/>
      <w:marRight w:val="0"/>
      <w:marTop w:val="0"/>
      <w:marBottom w:val="0"/>
      <w:divBdr>
        <w:top w:val="none" w:sz="0" w:space="0" w:color="auto"/>
        <w:left w:val="none" w:sz="0" w:space="0" w:color="auto"/>
        <w:bottom w:val="none" w:sz="0" w:space="0" w:color="auto"/>
        <w:right w:val="none" w:sz="0" w:space="0" w:color="auto"/>
      </w:divBdr>
      <w:divsChild>
        <w:div w:id="1567958722">
          <w:marLeft w:val="0"/>
          <w:marRight w:val="0"/>
          <w:marTop w:val="0"/>
          <w:marBottom w:val="0"/>
          <w:divBdr>
            <w:top w:val="none" w:sz="0" w:space="0" w:color="auto"/>
            <w:left w:val="none" w:sz="0" w:space="0" w:color="auto"/>
            <w:bottom w:val="none" w:sz="0" w:space="0" w:color="auto"/>
            <w:right w:val="none" w:sz="0" w:space="0" w:color="auto"/>
          </w:divBdr>
        </w:div>
      </w:divsChild>
    </w:div>
    <w:div w:id="1780107080">
      <w:bodyDiv w:val="1"/>
      <w:marLeft w:val="0"/>
      <w:marRight w:val="0"/>
      <w:marTop w:val="0"/>
      <w:marBottom w:val="0"/>
      <w:divBdr>
        <w:top w:val="none" w:sz="0" w:space="0" w:color="auto"/>
        <w:left w:val="none" w:sz="0" w:space="0" w:color="auto"/>
        <w:bottom w:val="none" w:sz="0" w:space="0" w:color="auto"/>
        <w:right w:val="none" w:sz="0" w:space="0" w:color="auto"/>
      </w:divBdr>
      <w:divsChild>
        <w:div w:id="183133704">
          <w:marLeft w:val="0"/>
          <w:marRight w:val="0"/>
          <w:marTop w:val="0"/>
          <w:marBottom w:val="0"/>
          <w:divBdr>
            <w:top w:val="none" w:sz="0" w:space="0" w:color="auto"/>
            <w:left w:val="none" w:sz="0" w:space="0" w:color="auto"/>
            <w:bottom w:val="none" w:sz="0" w:space="0" w:color="auto"/>
            <w:right w:val="none" w:sz="0" w:space="0" w:color="auto"/>
          </w:divBdr>
        </w:div>
      </w:divsChild>
    </w:div>
    <w:div w:id="1887403133">
      <w:bodyDiv w:val="1"/>
      <w:marLeft w:val="0"/>
      <w:marRight w:val="0"/>
      <w:marTop w:val="0"/>
      <w:marBottom w:val="0"/>
      <w:divBdr>
        <w:top w:val="none" w:sz="0" w:space="0" w:color="auto"/>
        <w:left w:val="none" w:sz="0" w:space="0" w:color="auto"/>
        <w:bottom w:val="none" w:sz="0" w:space="0" w:color="auto"/>
        <w:right w:val="none" w:sz="0" w:space="0" w:color="auto"/>
      </w:divBdr>
      <w:divsChild>
        <w:div w:id="1758398788">
          <w:marLeft w:val="0"/>
          <w:marRight w:val="0"/>
          <w:marTop w:val="0"/>
          <w:marBottom w:val="0"/>
          <w:divBdr>
            <w:top w:val="none" w:sz="0" w:space="0" w:color="auto"/>
            <w:left w:val="none" w:sz="0" w:space="0" w:color="auto"/>
            <w:bottom w:val="none" w:sz="0" w:space="0" w:color="auto"/>
            <w:right w:val="none" w:sz="0" w:space="0" w:color="auto"/>
          </w:divBdr>
        </w:div>
      </w:divsChild>
    </w:div>
    <w:div w:id="1954822775">
      <w:bodyDiv w:val="1"/>
      <w:marLeft w:val="0"/>
      <w:marRight w:val="0"/>
      <w:marTop w:val="0"/>
      <w:marBottom w:val="0"/>
      <w:divBdr>
        <w:top w:val="none" w:sz="0" w:space="0" w:color="auto"/>
        <w:left w:val="none" w:sz="0" w:space="0" w:color="auto"/>
        <w:bottom w:val="none" w:sz="0" w:space="0" w:color="auto"/>
        <w:right w:val="none" w:sz="0" w:space="0" w:color="auto"/>
      </w:divBdr>
      <w:divsChild>
        <w:div w:id="1793018171">
          <w:marLeft w:val="0"/>
          <w:marRight w:val="0"/>
          <w:marTop w:val="0"/>
          <w:marBottom w:val="0"/>
          <w:divBdr>
            <w:top w:val="none" w:sz="0" w:space="0" w:color="auto"/>
            <w:left w:val="none" w:sz="0" w:space="0" w:color="auto"/>
            <w:bottom w:val="none" w:sz="0" w:space="0" w:color="auto"/>
            <w:right w:val="none" w:sz="0" w:space="0" w:color="auto"/>
          </w:divBdr>
        </w:div>
      </w:divsChild>
    </w:div>
    <w:div w:id="1960530544">
      <w:bodyDiv w:val="1"/>
      <w:marLeft w:val="0"/>
      <w:marRight w:val="0"/>
      <w:marTop w:val="0"/>
      <w:marBottom w:val="0"/>
      <w:divBdr>
        <w:top w:val="none" w:sz="0" w:space="0" w:color="auto"/>
        <w:left w:val="none" w:sz="0" w:space="0" w:color="auto"/>
        <w:bottom w:val="none" w:sz="0" w:space="0" w:color="auto"/>
        <w:right w:val="none" w:sz="0" w:space="0" w:color="auto"/>
      </w:divBdr>
    </w:div>
    <w:div w:id="1972980722">
      <w:bodyDiv w:val="1"/>
      <w:marLeft w:val="0"/>
      <w:marRight w:val="0"/>
      <w:marTop w:val="0"/>
      <w:marBottom w:val="0"/>
      <w:divBdr>
        <w:top w:val="none" w:sz="0" w:space="0" w:color="auto"/>
        <w:left w:val="none" w:sz="0" w:space="0" w:color="auto"/>
        <w:bottom w:val="none" w:sz="0" w:space="0" w:color="auto"/>
        <w:right w:val="none" w:sz="0" w:space="0" w:color="auto"/>
      </w:divBdr>
      <w:divsChild>
        <w:div w:id="777413068">
          <w:marLeft w:val="0"/>
          <w:marRight w:val="0"/>
          <w:marTop w:val="0"/>
          <w:marBottom w:val="0"/>
          <w:divBdr>
            <w:top w:val="none" w:sz="0" w:space="0" w:color="auto"/>
            <w:left w:val="none" w:sz="0" w:space="0" w:color="auto"/>
            <w:bottom w:val="none" w:sz="0" w:space="0" w:color="auto"/>
            <w:right w:val="none" w:sz="0" w:space="0" w:color="auto"/>
          </w:divBdr>
        </w:div>
      </w:divsChild>
    </w:div>
    <w:div w:id="1977101687">
      <w:bodyDiv w:val="1"/>
      <w:marLeft w:val="0"/>
      <w:marRight w:val="0"/>
      <w:marTop w:val="0"/>
      <w:marBottom w:val="0"/>
      <w:divBdr>
        <w:top w:val="none" w:sz="0" w:space="0" w:color="auto"/>
        <w:left w:val="none" w:sz="0" w:space="0" w:color="auto"/>
        <w:bottom w:val="none" w:sz="0" w:space="0" w:color="auto"/>
        <w:right w:val="none" w:sz="0" w:space="0" w:color="auto"/>
      </w:divBdr>
      <w:divsChild>
        <w:div w:id="858468945">
          <w:marLeft w:val="0"/>
          <w:marRight w:val="0"/>
          <w:marTop w:val="0"/>
          <w:marBottom w:val="0"/>
          <w:divBdr>
            <w:top w:val="none" w:sz="0" w:space="0" w:color="auto"/>
            <w:left w:val="none" w:sz="0" w:space="0" w:color="auto"/>
            <w:bottom w:val="none" w:sz="0" w:space="0" w:color="auto"/>
            <w:right w:val="none" w:sz="0" w:space="0" w:color="auto"/>
          </w:divBdr>
        </w:div>
      </w:divsChild>
    </w:div>
    <w:div w:id="2001956841">
      <w:bodyDiv w:val="1"/>
      <w:marLeft w:val="0"/>
      <w:marRight w:val="0"/>
      <w:marTop w:val="0"/>
      <w:marBottom w:val="0"/>
      <w:divBdr>
        <w:top w:val="none" w:sz="0" w:space="0" w:color="auto"/>
        <w:left w:val="none" w:sz="0" w:space="0" w:color="auto"/>
        <w:bottom w:val="none" w:sz="0" w:space="0" w:color="auto"/>
        <w:right w:val="none" w:sz="0" w:space="0" w:color="auto"/>
      </w:divBdr>
    </w:div>
    <w:div w:id="2026439053">
      <w:bodyDiv w:val="1"/>
      <w:marLeft w:val="0"/>
      <w:marRight w:val="0"/>
      <w:marTop w:val="0"/>
      <w:marBottom w:val="0"/>
      <w:divBdr>
        <w:top w:val="none" w:sz="0" w:space="0" w:color="auto"/>
        <w:left w:val="none" w:sz="0" w:space="0" w:color="auto"/>
        <w:bottom w:val="none" w:sz="0" w:space="0" w:color="auto"/>
        <w:right w:val="none" w:sz="0" w:space="0" w:color="auto"/>
      </w:divBdr>
      <w:divsChild>
        <w:div w:id="1066298362">
          <w:marLeft w:val="0"/>
          <w:marRight w:val="0"/>
          <w:marTop w:val="0"/>
          <w:marBottom w:val="0"/>
          <w:divBdr>
            <w:top w:val="none" w:sz="0" w:space="0" w:color="auto"/>
            <w:left w:val="none" w:sz="0" w:space="0" w:color="auto"/>
            <w:bottom w:val="none" w:sz="0" w:space="0" w:color="auto"/>
            <w:right w:val="none" w:sz="0" w:space="0" w:color="auto"/>
          </w:divBdr>
        </w:div>
      </w:divsChild>
    </w:div>
    <w:div w:id="2085493978">
      <w:bodyDiv w:val="1"/>
      <w:marLeft w:val="0"/>
      <w:marRight w:val="0"/>
      <w:marTop w:val="0"/>
      <w:marBottom w:val="0"/>
      <w:divBdr>
        <w:top w:val="none" w:sz="0" w:space="0" w:color="auto"/>
        <w:left w:val="none" w:sz="0" w:space="0" w:color="auto"/>
        <w:bottom w:val="none" w:sz="0" w:space="0" w:color="auto"/>
        <w:right w:val="none" w:sz="0" w:space="0" w:color="auto"/>
      </w:divBdr>
    </w:div>
    <w:div w:id="2112429777">
      <w:bodyDiv w:val="1"/>
      <w:marLeft w:val="0"/>
      <w:marRight w:val="0"/>
      <w:marTop w:val="0"/>
      <w:marBottom w:val="0"/>
      <w:divBdr>
        <w:top w:val="none" w:sz="0" w:space="0" w:color="auto"/>
        <w:left w:val="none" w:sz="0" w:space="0" w:color="auto"/>
        <w:bottom w:val="none" w:sz="0" w:space="0" w:color="auto"/>
        <w:right w:val="none" w:sz="0" w:space="0" w:color="auto"/>
      </w:divBdr>
    </w:div>
    <w:div w:id="211643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47E77C80BF4BB8B11D2D4501CCC69D"/>
        <w:category>
          <w:name w:val="General"/>
          <w:gallery w:val="placeholder"/>
        </w:category>
        <w:types>
          <w:type w:val="bbPlcHdr"/>
        </w:types>
        <w:behaviors>
          <w:behavior w:val="content"/>
        </w:behaviors>
        <w:guid w:val="{25080F05-3208-4BDC-8708-CE2FA98005D6}"/>
      </w:docPartPr>
      <w:docPartBody>
        <w:p w:rsidR="00965D12" w:rsidRDefault="00965D12">
          <w:pPr>
            <w:pStyle w:val="B947E77C80BF4BB8B11D2D4501CCC69D"/>
          </w:pPr>
          <w:r>
            <w:t>&lt;Document title&gt;</w:t>
          </w:r>
        </w:p>
      </w:docPartBody>
    </w:docPart>
    <w:docPart>
      <w:docPartPr>
        <w:name w:val="55789698E12143CC9F2D2325DEB79938"/>
        <w:category>
          <w:name w:val="General"/>
          <w:gallery w:val="placeholder"/>
        </w:category>
        <w:types>
          <w:type w:val="bbPlcHdr"/>
        </w:types>
        <w:behaviors>
          <w:behavior w:val="content"/>
        </w:behaviors>
        <w:guid w:val="{2FE9FB8B-8A6C-466A-BE4F-D6DD36503259}"/>
      </w:docPartPr>
      <w:docPartBody>
        <w:p w:rsidR="00965D12" w:rsidRDefault="00965D12">
          <w:pPr>
            <w:pStyle w:val="55789698E12143CC9F2D2325DEB79938"/>
          </w:pPr>
          <w:r w:rsidRPr="004E7885">
            <w:rPr>
              <w:rStyle w:val="PlaceholderText"/>
            </w:rPr>
            <w:t>&lt;Document title&gt;</w:t>
          </w:r>
        </w:p>
      </w:docPartBody>
    </w:docPart>
    <w:docPart>
      <w:docPartPr>
        <w:name w:val="F54E29CB04154139B03106394B28BD73"/>
        <w:category>
          <w:name w:val="General"/>
          <w:gallery w:val="placeholder"/>
        </w:category>
        <w:types>
          <w:type w:val="bbPlcHdr"/>
        </w:types>
        <w:behaviors>
          <w:behavior w:val="content"/>
        </w:behaviors>
        <w:guid w:val="{DEDDF5FD-F839-4720-804D-16F4C5E169B3}"/>
      </w:docPartPr>
      <w:docPartBody>
        <w:p w:rsidR="00965D12" w:rsidRDefault="00965D12">
          <w:pPr>
            <w:pStyle w:val="F54E29CB04154139B03106394B28BD73"/>
          </w:pPr>
          <w:r w:rsidRPr="004E7885">
            <w:rPr>
              <w:rStyle w:val="PlaceholderText"/>
            </w:rPr>
            <w:t>&lt;Document title&gt;</w:t>
          </w:r>
        </w:p>
      </w:docPartBody>
    </w:docPart>
    <w:docPart>
      <w:docPartPr>
        <w:name w:val="C6CB880113AF4FF4AFE82588BFEFB6E4"/>
        <w:category>
          <w:name w:val="General"/>
          <w:gallery w:val="placeholder"/>
        </w:category>
        <w:types>
          <w:type w:val="bbPlcHdr"/>
        </w:types>
        <w:behaviors>
          <w:behavior w:val="content"/>
        </w:behaviors>
        <w:guid w:val="{1917231E-B8FB-49D2-A392-B60875F904E4}"/>
      </w:docPartPr>
      <w:docPartBody>
        <w:p w:rsidR="00965D12" w:rsidRDefault="00965D12">
          <w:pPr>
            <w:pStyle w:val="C6CB880113AF4FF4AFE82588BFEFB6E4"/>
          </w:pPr>
          <w:r w:rsidRPr="007B29CC">
            <w:rPr>
              <w:rStyle w:val="PlaceholderText"/>
            </w:rPr>
            <w:t>[Company]</w:t>
          </w:r>
        </w:p>
      </w:docPartBody>
    </w:docPart>
    <w:docPart>
      <w:docPartPr>
        <w:name w:val="014B75258CAD4CC3A1F6A1CFA31557D1"/>
        <w:category>
          <w:name w:val="General"/>
          <w:gallery w:val="placeholder"/>
        </w:category>
        <w:types>
          <w:type w:val="bbPlcHdr"/>
        </w:types>
        <w:behaviors>
          <w:behavior w:val="content"/>
        </w:behaviors>
        <w:guid w:val="{AEAD44B2-43A4-4A60-8279-8AC518020C69}"/>
      </w:docPartPr>
      <w:docPartBody>
        <w:p w:rsidR="00965D12" w:rsidRDefault="00965D12">
          <w:pPr>
            <w:pStyle w:val="014B75258CAD4CC3A1F6A1CFA31557D1"/>
          </w:pPr>
          <w:r w:rsidRPr="005076E2">
            <w:t>&lt;Date Month Year&gt;</w:t>
          </w:r>
        </w:p>
      </w:docPartBody>
    </w:docPart>
    <w:docPart>
      <w:docPartPr>
        <w:name w:val="257748B9A243499F8C96B15FC67791CE"/>
        <w:category>
          <w:name w:val="General"/>
          <w:gallery w:val="placeholder"/>
        </w:category>
        <w:types>
          <w:type w:val="bbPlcHdr"/>
        </w:types>
        <w:behaviors>
          <w:behavior w:val="content"/>
        </w:behaviors>
        <w:guid w:val="{6D4D33CB-149B-4312-9705-5E0A3B35CEA3}"/>
      </w:docPartPr>
      <w:docPartBody>
        <w:p w:rsidR="00965D12" w:rsidRDefault="00965D12">
          <w:pPr>
            <w:pStyle w:val="257748B9A243499F8C96B15FC67791CE"/>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12"/>
    <w:rsid w:val="000818A2"/>
    <w:rsid w:val="0013793E"/>
    <w:rsid w:val="00181FCE"/>
    <w:rsid w:val="001A55C0"/>
    <w:rsid w:val="002A5E90"/>
    <w:rsid w:val="002B4B6B"/>
    <w:rsid w:val="003039FB"/>
    <w:rsid w:val="0031499B"/>
    <w:rsid w:val="003773D2"/>
    <w:rsid w:val="00841882"/>
    <w:rsid w:val="00866774"/>
    <w:rsid w:val="00965D12"/>
    <w:rsid w:val="009D51E0"/>
    <w:rsid w:val="00B0174A"/>
    <w:rsid w:val="00C322C6"/>
    <w:rsid w:val="00C3383D"/>
    <w:rsid w:val="00D03CBD"/>
    <w:rsid w:val="00D53616"/>
    <w:rsid w:val="00D97046"/>
    <w:rsid w:val="00D97401"/>
    <w:rsid w:val="00DC4F16"/>
    <w:rsid w:val="00E014DD"/>
    <w:rsid w:val="00E341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947E77C80BF4BB8B11D2D4501CCC69D">
    <w:name w:val="B947E77C80BF4BB8B11D2D4501CCC69D"/>
  </w:style>
  <w:style w:type="character" w:styleId="PlaceholderText">
    <w:name w:val="Placeholder Text"/>
    <w:basedOn w:val="DefaultParagraphFont"/>
    <w:uiPriority w:val="99"/>
    <w:semiHidden/>
    <w:rPr>
      <w:color w:val="808080"/>
    </w:rPr>
  </w:style>
  <w:style w:type="paragraph" w:customStyle="1" w:styleId="55789698E12143CC9F2D2325DEB79938">
    <w:name w:val="55789698E12143CC9F2D2325DEB79938"/>
  </w:style>
  <w:style w:type="paragraph" w:customStyle="1" w:styleId="F54E29CB04154139B03106394B28BD73">
    <w:name w:val="F54E29CB04154139B03106394B28BD73"/>
  </w:style>
  <w:style w:type="paragraph" w:customStyle="1" w:styleId="C6CB880113AF4FF4AFE82588BFEFB6E4">
    <w:name w:val="C6CB880113AF4FF4AFE82588BFEFB6E4"/>
  </w:style>
  <w:style w:type="paragraph" w:customStyle="1" w:styleId="014B75258CAD4CC3A1F6A1CFA31557D1">
    <w:name w:val="014B75258CAD4CC3A1F6A1CFA31557D1"/>
  </w:style>
  <w:style w:type="paragraph" w:customStyle="1" w:styleId="257748B9A243499F8C96B15FC67791CE">
    <w:name w:val="257748B9A243499F8C96B15FC67791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TG branding">
  <a:themeElements>
    <a:clrScheme name="Custom 4">
      <a:dk1>
        <a:srgbClr val="007E91"/>
      </a:dk1>
      <a:lt1>
        <a:sysClr val="window" lastClr="FFFFFF"/>
      </a:lt1>
      <a:dk2>
        <a:srgbClr val="44546A"/>
      </a:dk2>
      <a:lt2>
        <a:srgbClr val="E7E6E6"/>
      </a:lt2>
      <a:accent1>
        <a:srgbClr val="007E91"/>
      </a:accent1>
      <a:accent2>
        <a:srgbClr val="1F1F5F"/>
      </a:accent2>
      <a:accent3>
        <a:srgbClr val="A5A5A5"/>
      </a:accent3>
      <a:accent4>
        <a:srgbClr val="845278"/>
      </a:accent4>
      <a:accent5>
        <a:srgbClr val="127CC0"/>
      </a:accent5>
      <a:accent6>
        <a:srgbClr val="980044"/>
      </a:accent6>
      <a:hlink>
        <a:srgbClr val="007E91"/>
      </a:hlink>
      <a:folHlink>
        <a:srgbClr val="845278"/>
      </a:folHlink>
    </a:clrScheme>
    <a:fontScheme name="NT Government brand">
      <a:majorFont>
        <a:latin typeface="Lato Semibold"/>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2026-01-26T00:00:00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1E58F2-E00E-458C-9792-4589219B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14</Pages>
  <Words>4883</Words>
  <Characters>27836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Best practice end of financial year processes</vt:lpstr>
    </vt:vector>
  </TitlesOfParts>
  <Company>TREASURY AND FINANCE</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 practice end of financial year processes</dc:title>
  <dc:creator>Tiziana Hucent</dc:creator>
  <cp:lastModifiedBy>Donella Dabao</cp:lastModifiedBy>
  <cp:revision>5</cp:revision>
  <cp:lastPrinted>2026-02-10T05:32:00Z</cp:lastPrinted>
  <dcterms:created xsi:type="dcterms:W3CDTF">2026-02-10T05:07:00Z</dcterms:created>
  <dcterms:modified xsi:type="dcterms:W3CDTF">2026-02-23T06:43:00Z</dcterms:modified>
</cp:coreProperties>
</file>